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43" w:rsidRDefault="00DF2143" w:rsidP="00DF2143">
      <w:pPr>
        <w:spacing w:before="120"/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  <w:bookmarkStart w:id="0" w:name="_Toc442605494"/>
      <w:bookmarkStart w:id="1" w:name="_Toc442677031"/>
      <w:bookmarkStart w:id="2" w:name="_Toc442677136"/>
      <w:bookmarkStart w:id="3" w:name="_Toc442677204"/>
      <w:bookmarkStart w:id="4" w:name="_Toc442677327"/>
      <w:bookmarkStart w:id="5" w:name="_Toc443235776"/>
      <w:bookmarkStart w:id="6" w:name="_Toc443237976"/>
      <w:bookmarkStart w:id="7" w:name="_Toc443238039"/>
      <w:bookmarkStart w:id="8" w:name="_Toc443297577"/>
      <w:bookmarkStart w:id="9" w:name="_Toc508360489"/>
      <w:r w:rsidRPr="00F25095">
        <w:rPr>
          <w:rFonts w:ascii="Arial" w:hAnsi="Arial" w:cs="Arial"/>
          <w:b/>
          <w:sz w:val="20"/>
          <w:szCs w:val="20"/>
        </w:rPr>
        <w:t xml:space="preserve">B.1.1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F25095">
        <w:rPr>
          <w:rFonts w:ascii="Calibri" w:hAnsi="Calibri" w:cs="Arial"/>
          <w:b/>
          <w:bCs/>
          <w:color w:val="000000"/>
          <w:sz w:val="20"/>
          <w:szCs w:val="20"/>
        </w:rPr>
        <w:t xml:space="preserve">Technická špecifikácia prístroja: </w:t>
      </w:r>
    </w:p>
    <w:p w:rsidR="00DF2143" w:rsidRDefault="00DF2143" w:rsidP="00DF2143">
      <w:pPr>
        <w:spacing w:before="120"/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776"/>
        <w:gridCol w:w="791"/>
        <w:gridCol w:w="413"/>
        <w:gridCol w:w="413"/>
        <w:gridCol w:w="615"/>
        <w:gridCol w:w="1290"/>
      </w:tblGrid>
      <w:tr w:rsidR="00DF2143" w:rsidRPr="00C22E62" w:rsidTr="007C7802">
        <w:trPr>
          <w:trHeight w:hRule="exact" w:val="446"/>
        </w:trPr>
        <w:tc>
          <w:tcPr>
            <w:tcW w:w="0" w:type="auto"/>
            <w:gridSpan w:val="7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2D2D2"/>
          </w:tcPr>
          <w:p w:rsidR="00DF2143" w:rsidRPr="00B148F9" w:rsidRDefault="00DF2143" w:rsidP="007C7802">
            <w:pPr>
              <w:pStyle w:val="TableParagraph"/>
              <w:spacing w:before="109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sk-SK"/>
              </w:rPr>
            </w:pPr>
            <w:r w:rsidRPr="00B148F9">
              <w:rPr>
                <w:rFonts w:ascii="Microsoft Sans Serif"/>
                <w:b/>
                <w:sz w:val="18"/>
                <w:lang w:val="sk-SK"/>
              </w:rPr>
              <w:t xml:space="preserve">11. </w:t>
            </w:r>
            <w:proofErr w:type="spellStart"/>
            <w:r w:rsidRPr="00B148F9">
              <w:rPr>
                <w:rFonts w:ascii="Microsoft Sans Serif"/>
                <w:b/>
                <w:sz w:val="18"/>
                <w:lang w:val="sk-SK"/>
              </w:rPr>
              <w:t>Elektroimpedan</w:t>
            </w:r>
            <w:r w:rsidRPr="00B148F9">
              <w:rPr>
                <w:rFonts w:ascii="Microsoft Sans Serif"/>
                <w:b/>
                <w:sz w:val="18"/>
                <w:lang w:val="sk-SK"/>
              </w:rPr>
              <w:t>č</w:t>
            </w:r>
            <w:r w:rsidRPr="00B148F9">
              <w:rPr>
                <w:rFonts w:ascii="Microsoft Sans Serif"/>
                <w:b/>
                <w:sz w:val="18"/>
                <w:lang w:val="sk-SK"/>
              </w:rPr>
              <w:t>n</w:t>
            </w:r>
            <w:r w:rsidRPr="00B148F9">
              <w:rPr>
                <w:rFonts w:ascii="Microsoft Sans Serif"/>
                <w:b/>
                <w:sz w:val="18"/>
                <w:lang w:val="sk-SK"/>
              </w:rPr>
              <w:t>ý</w:t>
            </w:r>
            <w:proofErr w:type="spellEnd"/>
            <w:r w:rsidRPr="00B148F9">
              <w:rPr>
                <w:rFonts w:ascii="Microsoft Sans Serif"/>
                <w:b/>
                <w:sz w:val="18"/>
                <w:lang w:val="sk-SK"/>
              </w:rPr>
              <w:t xml:space="preserve"> tomograf - funkcia</w:t>
            </w:r>
          </w:p>
        </w:tc>
      </w:tr>
      <w:tr w:rsidR="00DF2143" w:rsidRPr="00C22E62" w:rsidTr="007C7802">
        <w:trPr>
          <w:trHeight w:hRule="exact" w:val="647"/>
        </w:trPr>
        <w:tc>
          <w:tcPr>
            <w:tcW w:w="0" w:type="auto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Elektrický impedančný tomograf (EIT) na stacionárne použitie pri lôžku u pacientov v ľahu, na bruchu alebo v bočnej polohe, ktorých regionálna distribúcia objemu pľúc je klinicky zaujímavá (obvod hrudníka 70 - 150 cm).</w:t>
            </w:r>
          </w:p>
          <w:p w:rsidR="00DF2143" w:rsidRPr="00B148F9" w:rsidRDefault="00DF2143" w:rsidP="007C7802">
            <w:pPr>
              <w:pStyle w:val="TableParagraph"/>
              <w:ind w:left="27" w:right="477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sk-SK"/>
              </w:rPr>
            </w:pPr>
          </w:p>
        </w:tc>
      </w:tr>
      <w:tr w:rsidR="00DF2143" w:rsidRPr="00C22E62" w:rsidTr="007C7802">
        <w:trPr>
          <w:trHeight w:hRule="exact" w:val="1065"/>
        </w:trPr>
        <w:tc>
          <w:tcPr>
            <w:tcW w:w="0" w:type="auto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DF2143">
            <w:pPr>
              <w:widowControl w:val="0"/>
              <w:numPr>
                <w:ilvl w:val="0"/>
                <w:numId w:val="1"/>
              </w:numPr>
              <w:ind w:left="151" w:hanging="142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E</w:t>
            </w:r>
            <w:r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IT</w:t>
            </w: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zobrazujúci regionálne informácie o ventilácii súvisiace zmeny vzdušného obsahu v rovine elektródy - zobrazuje regionálne informácie o krátkodobých zmenách objemu konečného výdychu v rovine elektródy - informácie sa zobrazujú ako: dynamické prierezy EIT v reálnom čase, stavové obrázky prierezu EIT, priebehy impedancie v reálnom čase , odvodené číselné parametre a trendové údaje</w:t>
            </w:r>
          </w:p>
        </w:tc>
      </w:tr>
      <w:tr w:rsidR="00DF2143" w:rsidRPr="00C22E62" w:rsidTr="007C7802">
        <w:trPr>
          <w:trHeight w:hRule="exact" w:val="557"/>
        </w:trPr>
        <w:tc>
          <w:tcPr>
            <w:tcW w:w="0" w:type="auto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DF2143">
            <w:pPr>
              <w:widowControl w:val="0"/>
              <w:numPr>
                <w:ilvl w:val="0"/>
                <w:numId w:val="1"/>
              </w:numPr>
              <w:ind w:left="151" w:hanging="142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E</w:t>
            </w:r>
            <w:r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IT</w:t>
            </w: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</w:t>
            </w:r>
            <w:r w:rsidRPr="00B148F9">
              <w:rPr>
                <w:rFonts w:ascii="MicrosoftSansSerif" w:hAnsi="MicrosoftSansSerif" w:cs="MicrosoftSansSerif"/>
                <w:sz w:val="18"/>
                <w:szCs w:val="18"/>
              </w:rPr>
              <w:t xml:space="preserve">musí zabezpečiť kompatibilitu a zlučiteľnosť so stávajúcimi ventilačnými prístrojmi </w:t>
            </w:r>
            <w:proofErr w:type="spellStart"/>
            <w:r w:rsidRPr="00F0723A">
              <w:rPr>
                <w:rFonts w:ascii="MicrosoftSansSerif" w:hAnsi="MicrosoftSansSerif" w:cs="MicrosoftSansSerif"/>
                <w:b/>
                <w:sz w:val="18"/>
                <w:szCs w:val="18"/>
              </w:rPr>
              <w:t>Dräger</w:t>
            </w:r>
            <w:proofErr w:type="spellEnd"/>
            <w:r w:rsidRPr="00F0723A">
              <w:rPr>
                <w:rFonts w:ascii="MicrosoftSansSerif" w:hAnsi="MicrosoftSansSerif" w:cs="MicrosoftSansSerif"/>
                <w:b/>
                <w:sz w:val="18"/>
                <w:szCs w:val="18"/>
              </w:rPr>
              <w:t xml:space="preserve"> EVITA V300, EVITA </w:t>
            </w:r>
            <w:proofErr w:type="spellStart"/>
            <w:r w:rsidRPr="00F0723A">
              <w:rPr>
                <w:rFonts w:ascii="MicrosoftSansSerif" w:hAnsi="MicrosoftSansSerif" w:cs="MicrosoftSansSerif"/>
                <w:b/>
                <w:sz w:val="18"/>
                <w:szCs w:val="18"/>
              </w:rPr>
              <w:t>Infinity</w:t>
            </w:r>
            <w:proofErr w:type="spellEnd"/>
            <w:r w:rsidRPr="00F0723A">
              <w:rPr>
                <w:rFonts w:ascii="MicrosoftSansSerif" w:hAnsi="MicrosoftSansSerif" w:cs="MicrosoftSansSerif"/>
                <w:b/>
                <w:sz w:val="18"/>
                <w:szCs w:val="18"/>
              </w:rPr>
              <w:t xml:space="preserve"> V500, </w:t>
            </w:r>
            <w:proofErr w:type="spellStart"/>
            <w:r w:rsidRPr="00F0723A">
              <w:rPr>
                <w:rFonts w:ascii="MicrosoftSansSerif" w:hAnsi="MicrosoftSansSerif" w:cs="MicrosoftSansSerif"/>
                <w:b/>
                <w:sz w:val="18"/>
                <w:szCs w:val="18"/>
              </w:rPr>
              <w:t>Savina</w:t>
            </w:r>
            <w:proofErr w:type="spellEnd"/>
            <w:r w:rsidRPr="00F0723A">
              <w:rPr>
                <w:rFonts w:ascii="MicrosoftSansSerif" w:hAnsi="MicrosoftSansSerif" w:cs="MicrosoftSansSerif"/>
                <w:b/>
                <w:sz w:val="18"/>
                <w:szCs w:val="18"/>
              </w:rPr>
              <w:t xml:space="preserve"> 300 </w:t>
            </w:r>
            <w:r w:rsidRPr="00B148F9">
              <w:rPr>
                <w:rFonts w:ascii="MicrosoftSansSerif" w:hAnsi="MicrosoftSansSerif" w:cs="MicrosoftSansSerif"/>
                <w:sz w:val="18"/>
                <w:szCs w:val="18"/>
              </w:rPr>
              <w:t>v majetku objednávateľa.</w:t>
            </w:r>
          </w:p>
        </w:tc>
      </w:tr>
      <w:tr w:rsidR="00DF2143" w:rsidRPr="00C22E62" w:rsidTr="007C7802">
        <w:trPr>
          <w:trHeight w:hRule="exact" w:val="956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2D2D2"/>
          </w:tcPr>
          <w:p w:rsidR="00DF2143" w:rsidRPr="00B148F9" w:rsidRDefault="00DF2143" w:rsidP="007C7802">
            <w:pPr>
              <w:pStyle w:val="TableParagraph"/>
              <w:spacing w:before="109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sk-SK"/>
              </w:rPr>
            </w:pPr>
            <w:r w:rsidRPr="00B148F9">
              <w:rPr>
                <w:rFonts w:ascii="Microsoft Sans Serif" w:hAnsi="Microsoft Sans Serif"/>
                <w:b/>
                <w:sz w:val="18"/>
                <w:lang w:val="sk-SK"/>
              </w:rPr>
              <w:t>Technické</w:t>
            </w:r>
            <w:r w:rsidRPr="00B148F9">
              <w:rPr>
                <w:rFonts w:ascii="Microsoft Sans Serif" w:hAnsi="Microsoft Sans Serif"/>
                <w:b/>
                <w:spacing w:val="-17"/>
                <w:sz w:val="18"/>
                <w:lang w:val="sk-SK"/>
              </w:rPr>
              <w:t xml:space="preserve"> </w:t>
            </w:r>
            <w:r w:rsidRPr="00B148F9">
              <w:rPr>
                <w:rFonts w:ascii="Microsoft Sans Serif" w:hAnsi="Microsoft Sans Serif"/>
                <w:b/>
                <w:sz w:val="18"/>
                <w:lang w:val="sk-SK"/>
              </w:rPr>
              <w:t>vlastnosti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2D2D2"/>
          </w:tcPr>
          <w:p w:rsidR="00DF2143" w:rsidRPr="00B148F9" w:rsidRDefault="00DF2143" w:rsidP="007C7802">
            <w:pPr>
              <w:pStyle w:val="TableParagraph"/>
              <w:spacing w:before="109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sk-SK"/>
              </w:rPr>
            </w:pPr>
            <w:r w:rsidRPr="00B148F9">
              <w:rPr>
                <w:rFonts w:ascii="Microsoft Sans Serif"/>
                <w:b/>
                <w:sz w:val="18"/>
                <w:lang w:val="sk-SK"/>
              </w:rPr>
              <w:t>Jednotka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2D2D2"/>
          </w:tcPr>
          <w:p w:rsidR="00DF2143" w:rsidRPr="00B148F9" w:rsidRDefault="00DF2143" w:rsidP="007C7802">
            <w:pPr>
              <w:pStyle w:val="TableParagraph"/>
              <w:spacing w:before="109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sk-SK"/>
              </w:rPr>
            </w:pPr>
            <w:r w:rsidRPr="00B148F9">
              <w:rPr>
                <w:rFonts w:ascii="Microsoft Sans Serif"/>
                <w:b/>
                <w:sz w:val="18"/>
                <w:lang w:val="sk-SK"/>
              </w:rPr>
              <w:t>Minimum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2D2D2"/>
          </w:tcPr>
          <w:p w:rsidR="00DF2143" w:rsidRPr="00B148F9" w:rsidRDefault="00DF2143" w:rsidP="007C7802">
            <w:pPr>
              <w:pStyle w:val="TableParagraph"/>
              <w:spacing w:before="109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sk-SK"/>
              </w:rPr>
            </w:pPr>
            <w:r w:rsidRPr="00B148F9">
              <w:rPr>
                <w:rFonts w:ascii="Microsoft Sans Serif"/>
                <w:b/>
                <w:sz w:val="18"/>
                <w:lang w:val="sk-SK"/>
              </w:rPr>
              <w:t>Maximum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2D2D2"/>
          </w:tcPr>
          <w:p w:rsidR="00DF2143" w:rsidRPr="00B148F9" w:rsidRDefault="00DF2143" w:rsidP="007C7802">
            <w:pPr>
              <w:pStyle w:val="TableParagraph"/>
              <w:spacing w:before="109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sk-SK"/>
              </w:rPr>
            </w:pPr>
            <w:r w:rsidRPr="00B148F9">
              <w:rPr>
                <w:rFonts w:ascii="Microsoft Sans Serif"/>
                <w:b/>
                <w:sz w:val="18"/>
                <w:lang w:val="sk-SK"/>
              </w:rPr>
              <w:t>Presne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2D2D2"/>
          </w:tcPr>
          <w:p w:rsidR="00DF2143" w:rsidRPr="00B148F9" w:rsidRDefault="00DF2143" w:rsidP="007C7802">
            <w:pPr>
              <w:pStyle w:val="TableParagraph"/>
              <w:spacing w:before="109"/>
              <w:ind w:left="27"/>
              <w:rPr>
                <w:rFonts w:ascii="Microsoft Sans Serif"/>
                <w:b/>
                <w:sz w:val="18"/>
                <w:lang w:val="sk-SK"/>
              </w:rPr>
            </w:pPr>
            <w:r w:rsidRPr="00B148F9">
              <w:rPr>
                <w:rFonts w:ascii="Microsoft Sans Serif"/>
                <w:b/>
                <w:sz w:val="18"/>
                <w:lang w:val="sk-SK"/>
              </w:rPr>
              <w:t>Hodnota parametra pon</w:t>
            </w:r>
            <w:r w:rsidRPr="00B148F9">
              <w:rPr>
                <w:rFonts w:ascii="Microsoft Sans Serif"/>
                <w:b/>
                <w:sz w:val="18"/>
                <w:lang w:val="sk-SK"/>
              </w:rPr>
              <w:t>ú</w:t>
            </w:r>
            <w:r w:rsidRPr="00B148F9">
              <w:rPr>
                <w:rFonts w:ascii="Microsoft Sans Serif"/>
                <w:b/>
                <w:sz w:val="18"/>
                <w:lang w:val="sk-SK"/>
              </w:rPr>
              <w:t>kan</w:t>
            </w:r>
            <w:r w:rsidRPr="00B148F9">
              <w:rPr>
                <w:rFonts w:ascii="Microsoft Sans Serif"/>
                <w:b/>
                <w:sz w:val="18"/>
                <w:lang w:val="sk-SK"/>
              </w:rPr>
              <w:t>é</w:t>
            </w:r>
            <w:r w:rsidRPr="00B148F9">
              <w:rPr>
                <w:rFonts w:ascii="Microsoft Sans Serif"/>
                <w:b/>
                <w:sz w:val="18"/>
                <w:lang w:val="sk-SK"/>
              </w:rPr>
              <w:t>ho zariadenia</w:t>
            </w: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Elektroimpedančný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tomograf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72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 Elektrické napájanie 230V / 50Hz so záložným napájaním, vstavaným akumulátorom, s dobou záložnej prevádzky min.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minúta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65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 Zobrazovacie zariadenie: prehľadný farebný dotykový displej s uhlopriečkou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cm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643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 Zobrazovacie zariadenie: rozlíšenie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pixel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1440 x 900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 Zobrazovacie zariadenie: kontrastný pomer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500 : 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-EIT meranie, počet elektród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16 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-EIT meranie, počet referenčných elektród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62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-Amplitúda napájacieho prúdu v % maximálneho pomocného prúdu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pacienta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%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100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-Frekvencia napájacieho prúdu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Hz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130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Príslušenstvo ku každému prístroju EIT: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-prepojovací kábel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84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pacientský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kábel veľkosť L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73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pacientský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kábel veľkosť XL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64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pacientský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kábel veľkosť XXL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9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-elektródový pás veľkosť L alebo obvod hrudníka min. 92 až 110 cm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649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-elektródový pás veľkosť XL alebo obvod hrudníka min. 106 až 127 cm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98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-elektródový pás veľkosť XXL alebo obvod hrudníka min. 124 až 150 cm 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519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-Elektródy EIT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648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-Dátový kábel pre prenos údajov a komunikáciu s kompatibilnými ventilátormi podľa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špecifikície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kupujúceho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54"/>
        </w:trPr>
        <w:tc>
          <w:tcPr>
            <w:tcW w:w="0" w:type="auto"/>
            <w:tcBorders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D2D2D2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lastRenderedPageBreak/>
              <w:t>Technické vlastnosti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Hodnota / charakteristika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Calibri"/>
                <w:b/>
                <w:sz w:val="18"/>
                <w:szCs w:val="22"/>
              </w:rPr>
              <w:t>Hodnota parametra pon</w:t>
            </w:r>
            <w:r w:rsidRPr="00B148F9">
              <w:rPr>
                <w:rFonts w:ascii="Microsoft Sans Serif" w:hAnsi="Calibri"/>
                <w:b/>
                <w:sz w:val="18"/>
                <w:szCs w:val="22"/>
              </w:rPr>
              <w:t>ú</w:t>
            </w:r>
            <w:r w:rsidRPr="00B148F9">
              <w:rPr>
                <w:rFonts w:ascii="Microsoft Sans Serif" w:hAnsi="Calibri"/>
                <w:b/>
                <w:sz w:val="18"/>
                <w:szCs w:val="22"/>
              </w:rPr>
              <w:t>kan</w:t>
            </w:r>
            <w:r w:rsidRPr="00B148F9">
              <w:rPr>
                <w:rFonts w:ascii="Microsoft Sans Serif" w:hAnsi="Calibri"/>
                <w:b/>
                <w:sz w:val="18"/>
                <w:szCs w:val="22"/>
              </w:rPr>
              <w:t>é</w:t>
            </w:r>
            <w:r w:rsidRPr="00B148F9">
              <w:rPr>
                <w:rFonts w:ascii="Microsoft Sans Serif" w:hAnsi="Calibri"/>
                <w:b/>
                <w:sz w:val="18"/>
                <w:szCs w:val="22"/>
              </w:rPr>
              <w:t>ho zariadenia</w:t>
            </w:r>
          </w:p>
        </w:tc>
      </w:tr>
      <w:tr w:rsidR="00DF2143" w:rsidRPr="00C22E62" w:rsidTr="007C7802">
        <w:trPr>
          <w:trHeight w:hRule="exact" w:val="491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 kompaktný pojazdný prístroj s brzdenými kolieskami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1742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-dynamický obraz nepretržite zobrazujúci relatívne zmeny impedancie v elektródovej ploche ako rad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tomogramov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. Vysoké časové rozlíšenie, ktoré umožňuje posúdenie regionálnej ventilácie aj pri vysokých dychových frekvenciách. Napríklad keď je obrazová frekvencia nastavená na 20 obrazov za sekundu pre pacienta s dychovou frekvenciou 20 dychov za minútu, EIT vytvorí 60 obrazov na jeden dych.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2028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-analýza regiónov pľúc pomocou obrazu stavu. Obraz stavu konfigurovaný ako obraz dýchania alebo minútový obraz.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Obraz dýchania predstavujúci regionálnu distribúciu zmien impedancie posledného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detekovaného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dychu. Obraz dýchania t.j. rozdielový obraz konca inspirácie v porovnaní so začiatkom inspirácie. Obraz dýchania sa automaticky aktualizujúci po každom dychu. Začiatok inspirácie a koniec inspirácie sú indikované ako zvislé farebne odlíšené čiary na časových priebehoch vĺn impedancie.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1983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-stratégia ventilácie na ochranu pľúc vyžaduje optimálne nastavenie PEEP a dychového objemu. Hľadanie a udržiavanie týchto kľúčových nastavení v priebehu liečby sú náročné - dokonca aj pre skúsených lekárov. Globálne parametre, ktoré odrážajú stav pľúc ako celku, neposkytujú nepretržitý obraz o pľúcnych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funkciá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pacienta. Bez nepretržitých regionálnych informácií, hodnotenia toho, ako odlišne pľúcne regióny reagujú na terapeutické intervencie v priebehu času sa redukujú na odhadovanie práce. 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1133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-funkčný monitor pľúc, ktorý vykonáva merania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bioimpedancie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hrudníka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použitím techniky elektrickej impedančnej tomografie (EIT). EIT určuje regionálne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bioelektrické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vlastnosti v rámci plochy prierezu ("elektródová plocha") hrudníka.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838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-elektrický impedančný tomograf umožňujúci nepretržite a priamo sledovať ventiláciu v rôznych oblastiach pľúc, a uľahčuje rozvoj individualizovanej terapie.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565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-značenie udalostí: Užívateľ môže pomocou funkcie označiť a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anotovať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udalosti počas záznamu dát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141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-zadávanie údajov o pacientovi:  Na zadanie informácií týkajúcich sa pacienta. Meno pacienta sa zobrazuje na hlavovej lište prístroja. Ak je zadané, ID pacienta a krátky komentár automaticky tvoria súčasť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podpriečinkov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a mien súborov so zaznamenanými údajmi EIT, čo umožňuje pohodlné zaobchádzanie s dátovými súbormi EIT.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708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-spracovanie súborov: Zaznamenané dátové súbory je možné kopírovať na USB pamäťové zariadenie alebo mazať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1001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-zvýšená snímková frekvencia: Poskytuje schopnosť zvýšiť časové rozlíšenie meraní EIT. Pomocou danej funkcionality je možné nastaviť rýchlosť snímkovania na 40 alebo 50 Hz (dynamické obrázky za sekundu).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1413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-pásmový filter: Používa sa na zobrazenie zmien EIT, ku ktorým dochádza v konkrétnom frekvenčnom rozsahu - napríklad zobrazenie aktivity súvisiacej so srdcom je možné optimalizovať nastavením priepustu v nízkom pásme o 10 menej ako srdcová frekvencia a horného pásma prechodu o 10 viac ako srdcová frekvencia.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1119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lastRenderedPageBreak/>
              <w:t>-ručné nastavenie chodu frekvencie: EIT automaticky určuje optimálnu pracovnú frekvenciu. Táto vlastnosť však umožňuje používateľovi udržiavať konštantnú pracovnú frekvenciu, ktorá sa môže vyžadovať v nastaveniach výskumu.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253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Záruka minimálne 24 mesiacov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67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Nástup technika na opravu do 48 hodín od nahlásenia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701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V cene musí byť zahrnuté: doprava do miesta určenia, inštalácia, uvedenie do prevádzky a zaškolenie personálu do používania.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555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Všetky dostupné aktualizácie softvéru v cene nákupu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</w:tbl>
    <w:p w:rsidR="00DF2143" w:rsidRPr="00C22E62" w:rsidRDefault="00DF2143" w:rsidP="00DF2143">
      <w:pPr>
        <w:widowControl w:val="0"/>
        <w:jc w:val="both"/>
        <w:rPr>
          <w:rFonts w:ascii="Microsoft Sans Serif" w:hAnsi="Microsoft Sans Serif" w:cs="Microsoft Sans Serif"/>
          <w:sz w:val="18"/>
          <w:szCs w:val="18"/>
          <w:lang w:eastAsia="sk-SK"/>
        </w:rPr>
      </w:pP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>Požaduje</w:t>
      </w:r>
      <w:r>
        <w:rPr>
          <w:rFonts w:ascii="Arial" w:hAnsi="Arial" w:cs="Arial"/>
          <w:color w:val="auto"/>
          <w:shd w:val="clear" w:color="auto" w:fill="FFFFFF"/>
        </w:rPr>
        <w:t xml:space="preserve"> sa</w:t>
      </w:r>
      <w:bookmarkStart w:id="10" w:name="_GoBack"/>
      <w:bookmarkEnd w:id="10"/>
      <w:r w:rsidRPr="00F25095">
        <w:rPr>
          <w:rFonts w:ascii="Arial" w:hAnsi="Arial" w:cs="Arial"/>
          <w:color w:val="auto"/>
          <w:shd w:val="clear" w:color="auto" w:fill="FFFFFF"/>
        </w:rPr>
        <w:t xml:space="preserve"> dodanie predmetu zákazky, ktorý je schválený na dovoz a predaj v Slovenskej republike, resp. v rámci Európskej únie a bude vyhovovať platným medzinárodným normám, STN a všeobecne záväzným právnym predpisom.</w:t>
      </w:r>
    </w:p>
    <w:p w:rsidR="00DF2143" w:rsidRPr="00F25095" w:rsidRDefault="00DF2143" w:rsidP="00DF2143">
      <w:pPr>
        <w:rPr>
          <w:rFonts w:ascii="Open Sans" w:hAnsi="Open Sans"/>
          <w:color w:val="333333"/>
          <w:sz w:val="21"/>
          <w:szCs w:val="21"/>
          <w:shd w:val="clear" w:color="auto" w:fill="F9F9F9"/>
        </w:rPr>
      </w:pP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Súčasťou predmetu zákazky je: </w:t>
      </w: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>- dodávka zariadení na určené miesto,</w:t>
      </w: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>- inštalácia,</w:t>
      </w: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- funkčná skúška, </w:t>
      </w: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- protokolárne prevzatie a odovzdanie predmetu zákazky, </w:t>
      </w: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- odovzdanie sprievodnej dokumentácie, </w:t>
      </w: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- zaškolenie obsluhy, </w:t>
      </w: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567" w:hanging="141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>- poskytnutie záručného servisu po dobu minimálne 24 mesiacov,</w:t>
      </w:r>
    </w:p>
    <w:p w:rsidR="00DF2143" w:rsidRDefault="00DF2143" w:rsidP="00DF2143">
      <w:pPr>
        <w:numPr>
          <w:ilvl w:val="1"/>
          <w:numId w:val="0"/>
        </w:numPr>
        <w:tabs>
          <w:tab w:val="left" w:pos="0"/>
        </w:tabs>
        <w:snapToGrid w:val="0"/>
        <w:spacing w:after="240"/>
        <w:outlineLvl w:val="0"/>
        <w:rPr>
          <w:rFonts w:ascii="Arial" w:hAnsi="Arial" w:cs="Arial"/>
          <w:b/>
          <w:sz w:val="20"/>
          <w:szCs w:val="20"/>
          <w:lang w:eastAsia="en-US"/>
        </w:rPr>
      </w:pPr>
    </w:p>
    <w:p w:rsidR="00DF2143" w:rsidRDefault="00DF2143" w:rsidP="00DF2143">
      <w:pPr>
        <w:numPr>
          <w:ilvl w:val="1"/>
          <w:numId w:val="0"/>
        </w:numPr>
        <w:tabs>
          <w:tab w:val="left" w:pos="0"/>
        </w:tabs>
        <w:snapToGrid w:val="0"/>
        <w:spacing w:after="240"/>
        <w:outlineLvl w:val="0"/>
        <w:rPr>
          <w:rFonts w:ascii="Arial" w:hAnsi="Arial" w:cs="Arial"/>
          <w:b/>
          <w:sz w:val="20"/>
          <w:szCs w:val="20"/>
          <w:lang w:eastAsia="en-US"/>
        </w:rPr>
      </w:pPr>
    </w:p>
    <w:p w:rsidR="00B827EF" w:rsidRDefault="00B827EF"/>
    <w:sectPr w:rsidR="00B82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Microsoft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2466D"/>
    <w:multiLevelType w:val="hybridMultilevel"/>
    <w:tmpl w:val="0C5688F6"/>
    <w:lvl w:ilvl="0" w:tplc="16062C42">
      <w:start w:val="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58"/>
    <w:rsid w:val="00834558"/>
    <w:rsid w:val="00B827EF"/>
    <w:rsid w:val="00D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2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Char">
    <w:name w:val="Základný text 2 Char"/>
    <w:link w:val="Zkladntext2"/>
    <w:uiPriority w:val="99"/>
    <w:rsid w:val="00DF2143"/>
    <w:rPr>
      <w:rFonts w:ascii="Times New Roman" w:eastAsia="Times New Roman" w:hAnsi="Times New Roman" w:cs="Times New Roman"/>
      <w:sz w:val="20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DF2143"/>
    <w:pPr>
      <w:spacing w:before="120"/>
      <w:jc w:val="both"/>
    </w:pPr>
    <w:rPr>
      <w:sz w:val="20"/>
      <w:lang w:eastAsia="en-US"/>
    </w:rPr>
  </w:style>
  <w:style w:type="character" w:customStyle="1" w:styleId="Zkladntext2Char1">
    <w:name w:val="Základný text 2 Char1"/>
    <w:basedOn w:val="Predvolenpsmoodseku"/>
    <w:uiPriority w:val="99"/>
    <w:semiHidden/>
    <w:rsid w:val="00DF21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kapitoly">
    <w:name w:val="Nadpis kapitoly"/>
    <w:basedOn w:val="Normlny"/>
    <w:next w:val="Odsekkapitolyslovan"/>
    <w:qFormat/>
    <w:rsid w:val="00DF2143"/>
    <w:pPr>
      <w:keepNext/>
      <w:keepLines/>
      <w:numPr>
        <w:numId w:val="2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DF2143"/>
    <w:pPr>
      <w:numPr>
        <w:ilvl w:val="1"/>
        <w:numId w:val="2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DF2143"/>
    <w:pPr>
      <w:numPr>
        <w:ilvl w:val="2"/>
      </w:numPr>
      <w:tabs>
        <w:tab w:val="left" w:pos="851"/>
      </w:tabs>
    </w:pPr>
  </w:style>
  <w:style w:type="paragraph" w:customStyle="1" w:styleId="TableParagraph">
    <w:name w:val="Table Paragraph"/>
    <w:basedOn w:val="Normlny"/>
    <w:uiPriority w:val="1"/>
    <w:qFormat/>
    <w:rsid w:val="00DF2143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2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Char">
    <w:name w:val="Základný text 2 Char"/>
    <w:link w:val="Zkladntext2"/>
    <w:uiPriority w:val="99"/>
    <w:rsid w:val="00DF2143"/>
    <w:rPr>
      <w:rFonts w:ascii="Times New Roman" w:eastAsia="Times New Roman" w:hAnsi="Times New Roman" w:cs="Times New Roman"/>
      <w:sz w:val="20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DF2143"/>
    <w:pPr>
      <w:spacing w:before="120"/>
      <w:jc w:val="both"/>
    </w:pPr>
    <w:rPr>
      <w:sz w:val="20"/>
      <w:lang w:eastAsia="en-US"/>
    </w:rPr>
  </w:style>
  <w:style w:type="character" w:customStyle="1" w:styleId="Zkladntext2Char1">
    <w:name w:val="Základný text 2 Char1"/>
    <w:basedOn w:val="Predvolenpsmoodseku"/>
    <w:uiPriority w:val="99"/>
    <w:semiHidden/>
    <w:rsid w:val="00DF21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kapitoly">
    <w:name w:val="Nadpis kapitoly"/>
    <w:basedOn w:val="Normlny"/>
    <w:next w:val="Odsekkapitolyslovan"/>
    <w:qFormat/>
    <w:rsid w:val="00DF2143"/>
    <w:pPr>
      <w:keepNext/>
      <w:keepLines/>
      <w:numPr>
        <w:numId w:val="2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DF2143"/>
    <w:pPr>
      <w:numPr>
        <w:ilvl w:val="1"/>
        <w:numId w:val="2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DF2143"/>
    <w:pPr>
      <w:numPr>
        <w:ilvl w:val="2"/>
      </w:numPr>
      <w:tabs>
        <w:tab w:val="left" w:pos="851"/>
      </w:tabs>
    </w:pPr>
  </w:style>
  <w:style w:type="paragraph" w:customStyle="1" w:styleId="TableParagraph">
    <w:name w:val="Table Paragraph"/>
    <w:basedOn w:val="Normlny"/>
    <w:uiPriority w:val="1"/>
    <w:qFormat/>
    <w:rsid w:val="00DF2143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Breza</dc:creator>
  <cp:keywords/>
  <dc:description/>
  <cp:lastModifiedBy>Juraj Breza</cp:lastModifiedBy>
  <cp:revision>2</cp:revision>
  <dcterms:created xsi:type="dcterms:W3CDTF">2021-06-01T11:34:00Z</dcterms:created>
  <dcterms:modified xsi:type="dcterms:W3CDTF">2021-06-01T11:35:00Z</dcterms:modified>
</cp:coreProperties>
</file>