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0" w:before="9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Rámcová dohoda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186" w:line="259"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uzavretá podľa § 83 zákona č. 343/2015 Z. z. o verejnom obstarávaní a o zmene a doplnení niektorých zákonov v znení neskorších predpisov (ďalej len „Zákon o verejnom obstarávaní“),</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184" w:line="259"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(ďalej len „zmluva“, resp. „rámcová dohoda“)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1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I </w:t>
      </w:r>
      <w:r w:rsidDel="00000000" w:rsidR="00000000" w:rsidRPr="00000000">
        <w:rPr>
          <w:rtl w:val="0"/>
        </w:rPr>
      </w:r>
    </w:p>
    <w:p w:rsidR="00000000" w:rsidDel="00000000" w:rsidP="00000000" w:rsidRDefault="00000000" w:rsidRPr="00000000" w14:paraId="00000007">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Zmluvné strany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numPr>
          <w:ilvl w:val="1"/>
          <w:numId w:val="16"/>
        </w:numPr>
        <w:pBdr>
          <w:top w:space="0" w:sz="0" w:val="nil"/>
          <w:left w:space="0" w:sz="0" w:val="nil"/>
          <w:bottom w:space="0" w:sz="0" w:val="nil"/>
          <w:right w:space="0" w:sz="0" w:val="nil"/>
          <w:between w:space="0" w:sz="0" w:val="nil"/>
        </w:pBdr>
        <w:shd w:fill="auto" w:val="clear"/>
        <w:tabs>
          <w:tab w:val="left" w:pos="727"/>
          <w:tab w:val="left" w:pos="728"/>
          <w:tab w:val="left" w:pos="2993"/>
        </w:tabs>
        <w:spacing w:after="0" w:before="0" w:line="240" w:lineRule="auto"/>
        <w:ind w:left="0" w:right="-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Objednávateľ:</w:t>
        <w:tab/>
        <w:t xml:space="preserve">Univerzitná nemocnica Bratislava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299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Sídlo:</w:t>
        <w:tab/>
        <w:t xml:space="preserve">Pažítková 4, 821 01Bratislava</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407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IČO:</w:t>
        <w:tab/>
        <w:t xml:space="preserve">31 813 861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4193"/>
        </w:tabs>
        <w:spacing w:after="120" w:before="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DIČ:</w:t>
        <w:tab/>
        <w:t xml:space="preserve">2021700549</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299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IČDPH:</w:t>
        <w:tab/>
        <w:t xml:space="preserve">SK22021700549</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299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Zastúpený:</w:t>
        <w:tab/>
        <w:t xml:space="preserve">Ing. Roland Schaller, riaditeľ UNB</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2993"/>
        </w:tabs>
        <w:spacing w:after="120" w:before="0" w:line="480" w:lineRule="auto"/>
        <w:ind w:left="2977" w:right="-6" w:hanging="297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(ďalej aj ako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objednávateľ</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alebo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2993"/>
        </w:tabs>
        <w:spacing w:after="120" w:before="0" w:line="480" w:lineRule="auto"/>
        <w:ind w:left="2977" w:right="-6" w:hanging="297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1"/>
          <w:numId w:val="16"/>
        </w:numPr>
        <w:pBdr>
          <w:top w:space="0" w:sz="0" w:val="nil"/>
          <w:left w:space="0" w:sz="0" w:val="nil"/>
          <w:bottom w:space="0" w:sz="0" w:val="nil"/>
          <w:right w:space="0" w:sz="0" w:val="nil"/>
          <w:between w:space="0" w:sz="0" w:val="nil"/>
        </w:pBdr>
        <w:shd w:fill="auto" w:val="clear"/>
        <w:tabs>
          <w:tab w:val="left" w:pos="722"/>
          <w:tab w:val="left" w:pos="723"/>
        </w:tabs>
        <w:spacing w:after="0" w:before="0"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Poskytovateľ:</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Sídlo:</w:t>
        <w:tab/>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IČO:</w:t>
        <w:tab/>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DIČ:</w:t>
        <w:tab/>
        <w:tab/>
        <w:tab/>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 DPH:</w:t>
        <w:tab/>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Zapísaný:</w:t>
        <w:tab/>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Zastúpený:</w:t>
        <w:tab/>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Bankové spojenie: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číslo účtu /IBAN: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Osoby oprávnené konať vo veciach:</w:t>
      </w:r>
    </w:p>
    <w:p w:rsidR="00000000" w:rsidDel="00000000" w:rsidP="00000000" w:rsidRDefault="00000000" w:rsidRPr="00000000" w14:paraId="0000001B">
      <w:pPr>
        <w:keepNext w:val="0"/>
        <w:keepLines w:val="0"/>
        <w:widowControl w:val="0"/>
        <w:numPr>
          <w:ilvl w:val="2"/>
          <w:numId w:val="16"/>
        </w:numPr>
        <w:pBdr>
          <w:top w:space="0" w:sz="0" w:val="nil"/>
          <w:left w:space="0" w:sz="0" w:val="nil"/>
          <w:bottom w:space="0" w:sz="0" w:val="nil"/>
          <w:right w:space="0" w:sz="0" w:val="nil"/>
          <w:between w:space="0" w:sz="0" w:val="nil"/>
        </w:pBdr>
        <w:shd w:fill="auto" w:val="clear"/>
        <w:tabs>
          <w:tab w:val="left" w:pos="2977"/>
        </w:tabs>
        <w:spacing w:after="0" w:before="1" w:line="240" w:lineRule="auto"/>
        <w:ind w:left="284" w:right="-6"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zmluvných: </w:t>
        <w:tab/>
      </w:r>
    </w:p>
    <w:p w:rsidR="00000000" w:rsidDel="00000000" w:rsidP="00000000" w:rsidRDefault="00000000" w:rsidRPr="00000000" w14:paraId="0000001C">
      <w:pPr>
        <w:keepNext w:val="0"/>
        <w:keepLines w:val="0"/>
        <w:widowControl w:val="0"/>
        <w:numPr>
          <w:ilvl w:val="2"/>
          <w:numId w:val="16"/>
        </w:numPr>
        <w:pBdr>
          <w:top w:space="0" w:sz="0" w:val="nil"/>
          <w:left w:space="0" w:sz="0" w:val="nil"/>
          <w:bottom w:space="0" w:sz="0" w:val="nil"/>
          <w:right w:space="0" w:sz="0" w:val="nil"/>
          <w:between w:space="0" w:sz="0" w:val="nil"/>
        </w:pBdr>
        <w:shd w:fill="auto" w:val="clear"/>
        <w:tabs>
          <w:tab w:val="left" w:pos="3744"/>
        </w:tabs>
        <w:spacing w:after="0" w:before="0" w:line="240" w:lineRule="auto"/>
        <w:ind w:left="284" w:right="-6"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realizácie zmluvy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(ďalej aj ako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poskytovateľ</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spolu s objednávateľom aj ako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„zmluvné strany“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II </w:t>
      </w:r>
      <w:r w:rsidDel="00000000" w:rsidR="00000000" w:rsidRPr="00000000">
        <w:rPr>
          <w:rtl w:val="0"/>
        </w:rPr>
      </w:r>
    </w:p>
    <w:p w:rsidR="00000000" w:rsidDel="00000000" w:rsidP="00000000" w:rsidRDefault="00000000" w:rsidRPr="00000000" w14:paraId="00000024">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Predmet zmluvy</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6"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709"/>
        </w:tabs>
        <w:spacing w:after="0" w:before="0" w:line="240" w:lineRule="auto"/>
        <w:ind w:left="709" w:right="-6" w:hanging="62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Zmluvné strany uzatvárajú túto zmluvu ako výsledok verejného obstarávania za účelom poskytovania služieb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„Zabezpečenie odberu, prepravy a  zneškodňovania  zdravotníckeho odpadu“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súlade s ponukou poskytovateľa ako úspešného uchádzača vo verejnom obstarávaní.</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Predmetom tejto zmluvy je záväzok poskytovateľ zabezpečiť odber, prepravu, ďalšie nakladanie a zneškodnenie resp. zhodnotenie zdravotníckych odpadov v rozsahu podľa Prílohyč.1–</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cenová ponuka,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ktorá tvorí neoddeliteľnú súčasť tejto zmluvy pre objednávateľa a záväzok objednávateľa zaplatiť za poskytnuté služby poskytovateľovi dohodnutú cenu.</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6"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Predpokladaný finančný objem predmetu plnenia zmluvy počas platnosti tejto zmluvy je</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eur bez DPH. Objednávateľ nie je povinný odobrať predpokladané množstvo jednotlivých druhov služieb tvoriacich predmet plnenia zmluvy, ani vyčerpať predpokladaný finančný objem. Celkové odobraté množstvo predmetu plnenia zmluvy bude závisieť od finančných možností a konečných potrieb objednávateľa.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781"/>
        </w:tabs>
        <w:spacing w:after="0" w:before="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Poskytovateľ sa zaväzuje, že:</w:t>
      </w:r>
    </w:p>
    <w:p w:rsidR="00000000" w:rsidDel="00000000" w:rsidP="00000000" w:rsidRDefault="00000000" w:rsidRPr="00000000" w14:paraId="0000002D">
      <w:pPr>
        <w:keepNext w:val="0"/>
        <w:keepLines w:val="0"/>
        <w:widowControl w:val="0"/>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Zabezpečí plnenie predmetu zmluvy v súlade s platnými zákonnými predpismi v odpadovom hospodárstve v Slovenskej republike v dohodnutých termínoch.</w:t>
      </w:r>
    </w:p>
    <w:p w:rsidR="00000000" w:rsidDel="00000000" w:rsidP="00000000" w:rsidRDefault="00000000" w:rsidRPr="00000000" w14:paraId="0000002E">
      <w:pPr>
        <w:keepNext w:val="0"/>
        <w:keepLines w:val="0"/>
        <w:widowControl w:val="0"/>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 odbere odpadu vystaví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„Protokol o odbere odpadu“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ktorý obsahuje najmä dátum odberu, druh, množstvo odobratého odpadu a dohodnutú cenu za odber, prepravu odpadu na miesto zneškodnenia resp. zhodnotenia.</w:t>
      </w:r>
    </w:p>
    <w:p w:rsidR="00000000" w:rsidDel="00000000" w:rsidP="00000000" w:rsidRDefault="00000000" w:rsidRPr="00000000" w14:paraId="0000002F">
      <w:pPr>
        <w:keepNext w:val="0"/>
        <w:keepLines w:val="0"/>
        <w:widowControl w:val="0"/>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Súčasťou likvidácie nebezpečného odpadu musí byť potvrdenie sprievodného listu nebezpečného odpadu (SLNO) podľa Vyhlášky MŽP SR č. 366/2015 Z.z. o evidenčnej povinnosti a ohlasovacej povinnosti v znení platných predpisov, pričom list 1 zostáva u objednávateľa (pôvodcu odpadov) a list 4 potvrdený príjemcom odpadu bude zaslaný spolu s faktúrou objednávateľovi.</w:t>
      </w:r>
    </w:p>
    <w:p w:rsidR="00000000" w:rsidDel="00000000" w:rsidP="00000000" w:rsidRDefault="00000000" w:rsidRPr="00000000" w14:paraId="00000030">
      <w:pPr>
        <w:keepNext w:val="0"/>
        <w:keepLines w:val="0"/>
        <w:widowControl w:val="0"/>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Predloží platný súhlas na prepravu nebezpečných odpadov vydaný príslušným orgánom, ktorý bude tvoriť prílohu č. 3 tejto zmluvy a bude jej neoddeliteľnou súčasťou. Tento súhlas musí byť platný počas platnosti tejto zmluvy. V prípade ak súhlas priložený v prílohe č. 3 má stratiť platnosť počas trvania tejto zmluvy, poskytovateľ je povinný zabezpečiť vydanie nového súhlasu tak, aby nedošlo počas platnosti tejto zmluvy k stavu, že poskytovateľ nebude mať platný súhlas.</w:t>
      </w:r>
    </w:p>
    <w:p w:rsidR="00000000" w:rsidDel="00000000" w:rsidP="00000000" w:rsidRDefault="00000000" w:rsidRPr="00000000" w14:paraId="00000031">
      <w:pPr>
        <w:keepNext w:val="0"/>
        <w:keepLines w:val="0"/>
        <w:widowControl w:val="0"/>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Spolupracovať s objednávateľom na mieste plnenia zmluvy uvedenom v článku III tejto zmluvy.</w:t>
      </w:r>
    </w:p>
    <w:p w:rsidR="00000000" w:rsidDel="00000000" w:rsidP="00000000" w:rsidRDefault="00000000" w:rsidRPr="00000000" w14:paraId="00000032">
      <w:pPr>
        <w:keepNext w:val="0"/>
        <w:keepLines w:val="0"/>
        <w:widowControl w:val="0"/>
        <w:numPr>
          <w:ilvl w:val="2"/>
          <w:numId w:val="15"/>
        </w:numPr>
        <w:pBdr>
          <w:top w:space="0" w:sz="0" w:val="nil"/>
          <w:left w:space="0" w:sz="0" w:val="nil"/>
          <w:bottom w:space="0" w:sz="0" w:val="nil"/>
          <w:right w:space="0" w:sz="0" w:val="nil"/>
          <w:between w:space="0" w:sz="0" w:val="nil"/>
        </w:pBdr>
        <w:shd w:fill="auto" w:val="clear"/>
        <w:tabs>
          <w:tab w:val="left" w:pos="567"/>
        </w:tabs>
        <w:spacing w:after="0" w:before="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Zabezpečí minimálne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dva veľkokapacitné kontajnery 30 – 40 m3 na miesto plnenia zmluvy uvedené v článku III tejto zmluvy.</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III </w:t>
      </w:r>
      <w:r w:rsidDel="00000000" w:rsidR="00000000" w:rsidRPr="00000000">
        <w:rPr>
          <w:rtl w:val="0"/>
        </w:rPr>
      </w:r>
    </w:p>
    <w:p w:rsidR="00000000" w:rsidDel="00000000" w:rsidP="00000000" w:rsidRDefault="00000000" w:rsidRPr="00000000" w14:paraId="00000036">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Miesto a čas plnenia</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7"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numPr>
          <w:ilvl w:val="1"/>
          <w:numId w:val="14"/>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Miestom poskytovania služby je UNB, Nemocnica sv. Cyrila a Metoda, Zariadenie na zber odpadov, Antolská 11, 851 07 Bratislava, kam bude odpad z ostatných objektov (nemocníc) zvážaný pracovníkmi objednávateľa, a Nemocnica akademika Ladislava Dérera, Limbová 5,  833 05 Bratislava, odkiaľ bude odpad odvážaný poskytovateľom na zváženie na Antolskú 11 a následne odvezený na likvidáciu. Pri zvoze odpadov na pracovisko Zariadenie na zber odpadov, Antolská 11, 851 07 z iných objektov nie je poskytovateľ povinný poskytnúť objednávateľovi súčinnosť.</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numPr>
          <w:ilvl w:val="1"/>
          <w:numId w:val="14"/>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pracovisko Zariadenie na zber odpadov Nemocnice sv. Cyrila a Metoda, Antolská 11, 851 07 Bratislava pristaví poskytovateľ minimálne 2 veľkokapacitné kontajnery 30 – 40 m3 (pri vývozoch sa pristavia na výmenu minimálne 2 prázdne a odvezú sa všetk</w:t>
      </w:r>
      <w:r w:rsidDel="00000000" w:rsidR="00000000" w:rsidRPr="00000000">
        <w:rPr>
          <w:rFonts w:ascii="Arial" w:cs="Arial" w:eastAsia="Arial" w:hAnsi="Arial"/>
          <w:sz w:val="22"/>
          <w:szCs w:val="22"/>
          <w:rtl w:val="0"/>
        </w:rPr>
        <w:t xml:space="preserve">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plné kontajnery).</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1"/>
          <w:numId w:val="14"/>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prípade vzniku mimoriadnej situácie (veľké navýšenie množstva odpadu), na základe objednávk</w:t>
      </w:r>
      <w:r w:rsidDel="00000000" w:rsidR="00000000" w:rsidRPr="00000000">
        <w:rPr>
          <w:rFonts w:ascii="Arial" w:cs="Arial" w:eastAsia="Arial" w:hAnsi="Arial"/>
          <w:sz w:val="22"/>
          <w:szCs w:val="22"/>
          <w:rtl w:val="0"/>
        </w:rPr>
        <w:t xml:space="preserve">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miestom poskytovania služby budú aj iné objekty patriace pod Univerzitnú nemocnicu v Bratislave: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59" w:lineRule="auto"/>
        <w:ind w:left="720" w:right="1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Nemocnica Ružinov, Ružinovská 6,  826 06 Bratislava</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59" w:lineRule="auto"/>
        <w:ind w:left="0" w:right="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numPr>
          <w:ilvl w:val="1"/>
          <w:numId w:val="14"/>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Objednávka bude vystavená na začiatku každého mesiaca na odhadované množstvo odpadu za kalendárny mesiac zo všetkých zdrojov odpadu UNB – vývoz zo Zariadenia na zber odpadov, Antolská 11, 851 07 Bratislava a Nemocnice akademika Ladislava Dérera, Limbová 5,  833 05 Bratislava</w:t>
      </w:r>
      <w:r w:rsidDel="00000000" w:rsidR="00000000" w:rsidRPr="00000000">
        <w:rPr>
          <w:rFonts w:ascii="Arial" w:cs="Arial" w:eastAsia="Arial" w:hAnsi="Arial"/>
          <w:sz w:val="22"/>
          <w:szCs w:val="22"/>
          <w:rtl w:val="0"/>
        </w:rPr>
        <w:t xml:space="preserve"> a pri vzniku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imoriadnej situácie pod</w:t>
      </w:r>
      <w:r w:rsidDel="00000000" w:rsidR="00000000" w:rsidRPr="00000000">
        <w:rPr>
          <w:rFonts w:ascii="Arial" w:cs="Arial" w:eastAsia="Arial" w:hAnsi="Arial"/>
          <w:sz w:val="22"/>
          <w:szCs w:val="22"/>
          <w:rtl w:val="0"/>
        </w:rPr>
        <w:t xml:space="preserve">ľa vystavenej objednávky.</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numPr>
          <w:ilvl w:val="1"/>
          <w:numId w:val="14"/>
        </w:numPr>
        <w:pBdr>
          <w:top w:space="0" w:sz="0" w:val="nil"/>
          <w:left w:space="0" w:sz="0" w:val="nil"/>
          <w:bottom w:space="0" w:sz="0" w:val="nil"/>
          <w:right w:space="0" w:sz="0" w:val="nil"/>
          <w:between w:space="0" w:sz="0" w:val="nil"/>
        </w:pBdr>
        <w:shd w:fill="auto" w:val="clear"/>
        <w:tabs>
          <w:tab w:val="left" w:pos="781"/>
        </w:tabs>
        <w:spacing w:after="0" w:before="0" w:line="242"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Odvoz odpadu sa bude vykonávať v dohodnutých intervaloch</w:t>
      </w:r>
      <w:r w:rsidDel="00000000" w:rsidR="00000000" w:rsidRPr="00000000">
        <w:rPr>
          <w:rFonts w:ascii="Arial" w:cs="Arial" w:eastAsia="Arial" w:hAnsi="Arial"/>
          <w:sz w:val="22"/>
          <w:szCs w:val="22"/>
          <w:rtl w:val="0"/>
        </w:rPr>
        <w:t xml:space="preserve"> podľa vystavenej objednávky, minimálne 2-krát do týždňa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2" w:lineRule="auto"/>
        <w:ind w:left="0" w:right="-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2" w:lineRule="auto"/>
        <w:ind w:left="0" w:right="-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1"/>
        <w:keepLines w:val="1"/>
        <w:widowControl w:val="1"/>
        <w:pBdr>
          <w:top w:space="0" w:sz="0" w:val="nil"/>
          <w:left w:space="0" w:sz="0" w:val="nil"/>
          <w:bottom w:space="0" w:sz="0" w:val="nil"/>
          <w:right w:space="0" w:sz="0" w:val="nil"/>
          <w:between w:space="0" w:sz="0" w:val="nil"/>
        </w:pBdr>
        <w:shd w:fill="auto" w:val="clear"/>
        <w:spacing w:after="0" w:before="9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IV</w:t>
      </w:r>
      <w:r w:rsidDel="00000000" w:rsidR="00000000" w:rsidRPr="00000000">
        <w:rPr>
          <w:rtl w:val="0"/>
        </w:rPr>
      </w:r>
    </w:p>
    <w:p w:rsidR="00000000" w:rsidDel="00000000" w:rsidP="00000000" w:rsidRDefault="00000000" w:rsidRPr="00000000" w14:paraId="00000045">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Cena za poskytované služby</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6"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numPr>
          <w:ilvl w:val="1"/>
          <w:numId w:val="13"/>
        </w:numPr>
        <w:pBdr>
          <w:top w:space="0" w:sz="0" w:val="nil"/>
          <w:left w:space="0" w:sz="0" w:val="nil"/>
          <w:bottom w:space="0" w:sz="0" w:val="nil"/>
          <w:right w:space="0" w:sz="0" w:val="nil"/>
          <w:between w:space="0" w:sz="0" w:val="nil"/>
        </w:pBdr>
        <w:shd w:fill="auto" w:val="clear"/>
        <w:tabs>
          <w:tab w:val="left" w:pos="780"/>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Cena za predmet plnenia zmluvy musí byť stanovená v zmysle Zákona č. 18/1996Z. z.o cenách v znení neskorších predpisov (ďalej len „Zákon o cenách“) a vyhlášky MF SR č. 87/1996 Z. z., ktorou sa vykonáva Zákon o cenách v znení neskorších predpisov.</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6"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numPr>
          <w:ilvl w:val="1"/>
          <w:numId w:val="13"/>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Spôsob vytvorenia ceny (cenové pravidlá) je v súlade s § 2 Zákona o cenách založený na cene obchodného alebo sprostredkovateľského výkonu, ekonomicky oprávnených nákladoch a primeranom zisku.</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6"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numPr>
          <w:ilvl w:val="1"/>
          <w:numId w:val="13"/>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Navrhovaná cena musí zahŕňať všetky ekonomicky oprávnené náklady poskytovateľa vynaložené v súvislosti s poskytnutím predmetu zmluvy a primeraný zisk.</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7"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numPr>
          <w:ilvl w:val="1"/>
          <w:numId w:val="13"/>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objednávkach sa uvedú jednotkové ceny za požadované služby a cena za celý predpokladaný rozsah objednávky v eurách vzložení:</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2"/>
          <w:numId w:val="13"/>
        </w:numPr>
        <w:pBdr>
          <w:top w:space="0" w:sz="0" w:val="nil"/>
          <w:left w:space="0" w:sz="0" w:val="nil"/>
          <w:bottom w:space="0" w:sz="0" w:val="nil"/>
          <w:right w:space="0" w:sz="0" w:val="nil"/>
          <w:between w:space="0" w:sz="0" w:val="nil"/>
        </w:pBdr>
        <w:shd w:fill="auto" w:val="clear"/>
        <w:tabs>
          <w:tab w:val="left" w:pos="1597"/>
        </w:tabs>
        <w:spacing w:after="0" w:before="0"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cena v EUR bez DPH,</w:t>
      </w:r>
    </w:p>
    <w:p w:rsidR="00000000" w:rsidDel="00000000" w:rsidP="00000000" w:rsidRDefault="00000000" w:rsidRPr="00000000" w14:paraId="00000050">
      <w:pPr>
        <w:keepNext w:val="0"/>
        <w:keepLines w:val="0"/>
        <w:widowControl w:val="0"/>
        <w:numPr>
          <w:ilvl w:val="2"/>
          <w:numId w:val="13"/>
        </w:numPr>
        <w:pBdr>
          <w:top w:space="0" w:sz="0" w:val="nil"/>
          <w:left w:space="0" w:sz="0" w:val="nil"/>
          <w:bottom w:space="0" w:sz="0" w:val="nil"/>
          <w:right w:space="0" w:sz="0" w:val="nil"/>
          <w:between w:space="0" w:sz="0" w:val="nil"/>
        </w:pBdr>
        <w:shd w:fill="auto" w:val="clear"/>
        <w:tabs>
          <w:tab w:val="left" w:pos="1597"/>
          <w:tab w:val="left" w:pos="4410"/>
        </w:tabs>
        <w:spacing w:after="0" w:before="0"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DPH v EUR,</w:t>
        <w:tab/>
      </w:r>
      <w:r w:rsidDel="00000000" w:rsidR="00000000" w:rsidRPr="00000000">
        <w:rPr>
          <w:rtl w:val="0"/>
        </w:rPr>
      </w:r>
    </w:p>
    <w:p w:rsidR="00000000" w:rsidDel="00000000" w:rsidP="00000000" w:rsidRDefault="00000000" w:rsidRPr="00000000" w14:paraId="00000051">
      <w:pPr>
        <w:keepNext w:val="0"/>
        <w:keepLines w:val="0"/>
        <w:widowControl w:val="0"/>
        <w:numPr>
          <w:ilvl w:val="2"/>
          <w:numId w:val="13"/>
        </w:numPr>
        <w:pBdr>
          <w:top w:space="0" w:sz="0" w:val="nil"/>
          <w:left w:space="0" w:sz="0" w:val="nil"/>
          <w:bottom w:space="0" w:sz="0" w:val="nil"/>
          <w:right w:space="0" w:sz="0" w:val="nil"/>
          <w:between w:space="0" w:sz="0" w:val="nil"/>
        </w:pBdr>
        <w:shd w:fill="auto" w:val="clear"/>
        <w:tabs>
          <w:tab w:val="left" w:pos="1597"/>
        </w:tabs>
        <w:spacing w:after="0" w:before="0"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cena v EUR s DPH</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Všetky ceny budú zaokrúhlené na dve desatinné miesta.</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7"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numPr>
          <w:ilvl w:val="1"/>
          <w:numId w:val="13"/>
        </w:numPr>
        <w:pBdr>
          <w:top w:space="0" w:sz="0" w:val="nil"/>
          <w:left w:space="0" w:sz="0" w:val="nil"/>
          <w:bottom w:space="0" w:sz="0" w:val="nil"/>
          <w:right w:space="0" w:sz="0" w:val="nil"/>
          <w:between w:space="0" w:sz="0" w:val="nil"/>
        </w:pBdr>
        <w:shd w:fill="auto" w:val="clear"/>
        <w:tabs>
          <w:tab w:val="left" w:pos="781"/>
        </w:tabs>
        <w:spacing w:after="0" w:before="0" w:line="242"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Poskytovateľ poskytne služby za ceny, ktoré boli  obsiahnuté v ponuke a sú uvedené v prílohe č. 1 – cenová ponuka tejto zmluvy.</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3"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numPr>
          <w:ilvl w:val="1"/>
          <w:numId w:val="13"/>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prípade zákonnej úpravy DPH bude možné upraviť cenu písomným dodatkom k zmluve.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V</w:t>
      </w:r>
      <w:r w:rsidDel="00000000" w:rsidR="00000000" w:rsidRPr="00000000">
        <w:rPr>
          <w:rtl w:val="0"/>
        </w:rPr>
      </w:r>
    </w:p>
    <w:p w:rsidR="00000000" w:rsidDel="00000000" w:rsidP="00000000" w:rsidRDefault="00000000" w:rsidRPr="00000000" w14:paraId="0000005A">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Platobné podmienky</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6"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numPr>
          <w:ilvl w:val="1"/>
          <w:numId w:val="12"/>
        </w:numPr>
        <w:pBdr>
          <w:top w:space="0" w:sz="0" w:val="nil"/>
          <w:left w:space="0" w:sz="0" w:val="nil"/>
          <w:bottom w:space="0" w:sz="0" w:val="nil"/>
          <w:right w:space="0" w:sz="0" w:val="nil"/>
          <w:between w:space="0" w:sz="0" w:val="nil"/>
        </w:pBdr>
        <w:shd w:fill="auto" w:val="clear"/>
        <w:tabs>
          <w:tab w:val="left" w:pos="781"/>
        </w:tabs>
        <w:spacing w:after="0" w:before="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Vlastná platba sa bude realizovať formou bezhotovostného platobného styku v eurách. Poskytnuté služby na základe objednávok bude poskytovateľ fakturovať na základe predložených faktúr. Neoddeliteľnou súčasťou faktúry bude list 4 v zmysle Článku II, bodu 2.4, písm. c) tejto zmluvy a protokol o odbere odpadu v zmysle v zmysle Článku II, bodu 2.4, písm. b) tejto zmluvy. Všetky faktúry musia obsahovať náležitosti podľa zákona č. 222/2004 Z. z. o dani z pridanej hodnoty v znení neskorších predpisov a ich prílohou musí byť súpis vecného plnenia potvrdený zástupcom objednávateľa. Ak faktúra neobsahuje predpísané náležitosti, objednávateľ je oprávnený faktúru vrátiť, pričom doručením faktúry s vyššie uvedenými náležitosťami začína plynúť nová lehota splatnosti. Faktúra musí byť poskytovateľom vystavená najneskôr do 5. pracovného dňa v  mesiaci nasledujúcom po dni poskytnutí služby.</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6"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numPr>
          <w:ilvl w:val="1"/>
          <w:numId w:val="12"/>
        </w:numPr>
        <w:pBdr>
          <w:top w:space="0" w:sz="0" w:val="nil"/>
          <w:left w:space="0" w:sz="0" w:val="nil"/>
          <w:bottom w:space="0" w:sz="0" w:val="nil"/>
          <w:right w:space="0" w:sz="0" w:val="nil"/>
          <w:between w:space="0" w:sz="0" w:val="nil"/>
        </w:pBdr>
        <w:shd w:fill="auto" w:val="clear"/>
        <w:tabs>
          <w:tab w:val="left" w:pos="780"/>
          <w:tab w:val="left" w:pos="781"/>
        </w:tabs>
        <w:spacing w:after="0" w:before="1"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Lehota splatnosti faktúr je 30 dní od ich doručenia objednávateľovi.</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8"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numPr>
          <w:ilvl w:val="1"/>
          <w:numId w:val="12"/>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Objednávateľ neposkytne poskytovateľovi preddavok na zrealizovanie predmetu plnenia zmluvy.</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6"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numPr>
          <w:ilvl w:val="1"/>
          <w:numId w:val="12"/>
        </w:numPr>
        <w:pBdr>
          <w:top w:space="0" w:sz="0" w:val="nil"/>
          <w:left w:space="0" w:sz="0" w:val="nil"/>
          <w:bottom w:space="0" w:sz="0" w:val="nil"/>
          <w:right w:space="0" w:sz="0" w:val="nil"/>
          <w:between w:space="0" w:sz="0" w:val="nil"/>
        </w:pBdr>
        <w:shd w:fill="auto" w:val="clear"/>
        <w:tabs>
          <w:tab w:val="left" w:pos="780"/>
          <w:tab w:val="left" w:pos="781"/>
        </w:tabs>
        <w:spacing w:after="0" w:before="0"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Faktúry budú uhrádzané výhradne prevodným príkazom.</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1"/>
        <w:keepLines w:val="1"/>
        <w:widowControl w:val="1"/>
        <w:pBdr>
          <w:top w:space="0" w:sz="0" w:val="nil"/>
          <w:left w:space="0" w:sz="0" w:val="nil"/>
          <w:bottom w:space="0" w:sz="0" w:val="nil"/>
          <w:right w:space="0" w:sz="0" w:val="nil"/>
          <w:between w:space="0" w:sz="0" w:val="nil"/>
        </w:pBdr>
        <w:shd w:fill="auto" w:val="clear"/>
        <w:spacing w:after="0" w:before="9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VI</w:t>
      </w:r>
      <w:r w:rsidDel="00000000" w:rsidR="00000000" w:rsidRPr="00000000">
        <w:rPr>
          <w:rtl w:val="0"/>
        </w:rPr>
      </w:r>
    </w:p>
    <w:p w:rsidR="00000000" w:rsidDel="00000000" w:rsidP="00000000" w:rsidRDefault="00000000" w:rsidRPr="00000000" w14:paraId="00000066">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Spolupôsobenie a podklady zmluvných strán</w:t>
      </w:r>
      <w:r w:rsidDel="00000000" w:rsidR="00000000" w:rsidRPr="00000000">
        <w:rPr>
          <w:rtl w:val="0"/>
        </w:rPr>
      </w:r>
    </w:p>
    <w:p w:rsidR="00000000" w:rsidDel="00000000" w:rsidP="00000000" w:rsidRDefault="00000000" w:rsidRPr="00000000" w14:paraId="00000067">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781"/>
        </w:tabs>
        <w:spacing w:after="0" w:before="214"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účelom riadnej spolupráce sa zmluvné strany zaväzujú vzájomnou súčinnosťou.</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781"/>
        </w:tabs>
        <w:spacing w:after="0" w:before="0" w:line="259" w:lineRule="auto"/>
        <w:ind w:left="851" w:right="-6"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Plnenie predmetu zmluvy bude zabezpečované poskytovateľom v súlade: so Zákonom č. 79/2015 Z. z. o odpadoch a o zmene a doplnení niektorých zákonov,</w:t>
      </w:r>
    </w:p>
    <w:p w:rsidR="00000000" w:rsidDel="00000000" w:rsidP="00000000" w:rsidRDefault="00000000" w:rsidRPr="00000000" w14:paraId="0000006A">
      <w:pPr>
        <w:keepNext w:val="0"/>
        <w:keepLines w:val="0"/>
        <w:widowControl w:val="0"/>
        <w:numPr>
          <w:ilvl w:val="2"/>
          <w:numId w:val="10"/>
        </w:numPr>
        <w:pBdr>
          <w:top w:space="0" w:sz="0" w:val="nil"/>
          <w:left w:space="0" w:sz="0" w:val="nil"/>
          <w:bottom w:space="0" w:sz="0" w:val="nil"/>
          <w:right w:space="0" w:sz="0" w:val="nil"/>
          <w:between w:space="0" w:sz="0" w:val="nil"/>
        </w:pBdr>
        <w:shd w:fill="auto" w:val="clear"/>
        <w:tabs>
          <w:tab w:val="left" w:pos="1417"/>
        </w:tabs>
        <w:spacing w:after="0" w:before="0" w:line="237" w:lineRule="auto"/>
        <w:ind w:left="851" w:right="-6"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vyhláškou MŽP SR č. 366/2015 Z. z. o evidenčnej povinnosti a ohlasovacej povinnosti a vyhláškou MŽP SR č. 371/2015 Z. z., ktorou sa vykonávajú niektoré ustanovenia Zákona o odpadoch</w:t>
      </w:r>
    </w:p>
    <w:p w:rsidR="00000000" w:rsidDel="00000000" w:rsidP="00000000" w:rsidRDefault="00000000" w:rsidRPr="00000000" w14:paraId="0000006B">
      <w:pPr>
        <w:keepNext w:val="0"/>
        <w:keepLines w:val="0"/>
        <w:widowControl w:val="0"/>
        <w:numPr>
          <w:ilvl w:val="2"/>
          <w:numId w:val="10"/>
        </w:numPr>
        <w:pBdr>
          <w:top w:space="0" w:sz="0" w:val="nil"/>
          <w:left w:space="0" w:sz="0" w:val="nil"/>
          <w:bottom w:space="0" w:sz="0" w:val="nil"/>
          <w:right w:space="0" w:sz="0" w:val="nil"/>
          <w:between w:space="0" w:sz="0" w:val="nil"/>
        </w:pBdr>
        <w:shd w:fill="auto" w:val="clear"/>
        <w:tabs>
          <w:tab w:val="left" w:pos="1417"/>
        </w:tabs>
        <w:spacing w:after="0" w:before="0" w:line="237" w:lineRule="auto"/>
        <w:ind w:left="851" w:right="-6"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vyhláškou MŽP SR č. 365/2015 Z. z., ktorou sa ustanovuje Katalóg odpadov.</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3"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VII</w:t>
      </w:r>
      <w:r w:rsidDel="00000000" w:rsidR="00000000" w:rsidRPr="00000000">
        <w:rPr>
          <w:rtl w:val="0"/>
        </w:rPr>
      </w:r>
    </w:p>
    <w:p w:rsidR="00000000" w:rsidDel="00000000" w:rsidP="00000000" w:rsidRDefault="00000000" w:rsidRPr="00000000" w14:paraId="0000006E">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Osobitné dojednania</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2"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Prevzatím odpadu od objednávateľa preberá poskytovateľ zodpovednosť v zmysle § 11 ods. 3 Vyhlášky MŽP SR č. 366/2015 Z. z. o evidenčnej povinnosti a ohlasovacej povinnosti v znení neskorších predpisov, ako odosielateľ odpadu. Kópie SLNO zasiela poskytovateľ príslušným úradom za obdobie kalendárneho mesiaca, v ktorom sa uskutočnila preprava nebezpečného odpadu, do desiateho dňa nasledujúceho mesiaca.</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781"/>
        </w:tabs>
        <w:spacing w:after="0" w:before="0" w:line="237"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Poskytovateľ si vyhradzuje právo, v prípade zmien v technických a legislatívnych podmienkach prevádzkovateľa zariadenia na nakladanie s nebezpečným odpadom, na predloženie nových alebo rozšírenie už existujúcich chemických analýz nebezpečných odpadov v zmysle Vyhlášky MŽP SR č. 371/2015 Z.z., ktorou sa vykonávajú niektoré ustanovenia Zákona o odpadoch.</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3"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3"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VIII</w:t>
      </w:r>
      <w:r w:rsidDel="00000000" w:rsidR="00000000" w:rsidRPr="00000000">
        <w:rPr>
          <w:rtl w:val="0"/>
        </w:rPr>
      </w:r>
    </w:p>
    <w:p w:rsidR="00000000" w:rsidDel="00000000" w:rsidP="00000000" w:rsidRDefault="00000000" w:rsidRPr="00000000" w14:paraId="00000076">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Zmluvné pokuty a úroky z omeškania</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prípade nedodržania lehoty poskytnutia služieb si objednávateľ môže uplatniť voči poskytovateľovi zmluvnú pokutu vo výške 0,1 % z ceny plnenia (objednávky), s ktorým je poskytovateľ v omeškaní, za každý deň omeškania.</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780"/>
          <w:tab w:val="left" w:pos="781"/>
        </w:tabs>
        <w:spacing w:after="0" w:before="0"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Zaplatením zmluvnej pokuty nie je dotknutý nárok objednávateľa na náhradu škody.</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7"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781"/>
        </w:tabs>
        <w:spacing w:after="0" w:before="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prípade omeškania platby si poskytovateľ môže uplatniť voči objednávateľovi úrok z omeškania v zákonnej výške z neuhradenej fakturovanej čiastky za každý deň omeškania.</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781"/>
        </w:tabs>
        <w:spacing w:after="0" w:before="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Zmluvné pokuty a úroky z omeškania podľa tejto zmluvy sa neuplatnia v prípade, ak omeškaniezmluvnýchstránpreukázateľnespôsobívyššiamoc(požiar,povodeň,zemetrasenie a podobne). Trvanie vyššej moci je však dotknutá zmluvná strana povinná ihneď oznámiť druhej zmluvnej strane.</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IX</w:t>
      </w:r>
      <w:r w:rsidDel="00000000" w:rsidR="00000000" w:rsidRPr="00000000">
        <w:rPr>
          <w:rtl w:val="0"/>
        </w:rPr>
      </w:r>
    </w:p>
    <w:p w:rsidR="00000000" w:rsidDel="00000000" w:rsidP="00000000" w:rsidRDefault="00000000" w:rsidRPr="00000000" w14:paraId="00000083">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Osobitné ustanovenia</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základe tejto zmluvy môže dôjsť k poskytnutiu služieb. Poskytnutie služieb je na základe objednávky v súlade s touto zmluvou. Keďže zmluva je výsledkom verejnej súťaže, oprávňuje zmluvné strany k uzatváraniu objednávok, ktoré tvoria predmet tejto zmluvy.</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81"/>
        </w:tabs>
        <w:spacing w:after="0" w:before="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 poskytovateľ bude predmet plnenia realizovať sám, priloží čestné vyhlásenie poskytovateľa, že predmet plnenia bude realizovať bez participácie subdodávateľov na realizácii predmetu plnenia. V prípade, že poskytovateľ zabezpečí poskytnutie služby počas trvania rámcovej dohody subdodávateľmi, prílohou č. 4 tejto rámcovej dohody je zoznam subdodávateľov poskytovateľa.</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7"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 bude mať počas plnenia rámcovej dohody poskytovateľ záujem uzavrieť zmluvu so subdodávateľom, ktorý sa bude podieľať na realizácii predmetu plnenia tejto rámcovej dohody, je povinný rešpektovať nasledovné pravidlá:</w:t>
      </w:r>
    </w:p>
    <w:p w:rsidR="00000000" w:rsidDel="00000000" w:rsidP="00000000" w:rsidRDefault="00000000" w:rsidRPr="00000000" w14:paraId="0000008A">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každý subdodávateľ musí spĺňať podmienky týkajúce sa osobného postavenia a nesmú uňho existovať dôvody na vylúčenie podľa § 40 ods. 6 písm. a) až h) a ods. 7 Zákona č. 343/2015 Z. z. o verejnom obstarávaní a o zmene a doplnení niektorých zákonov v znení neskorších predpisov a musí byť zapísaný v Registri partnerov verejného sektora podľa Zákona č. 315/2016 o Registri partnerov verejného sektora a o zmene a doplnení niektorých zákonov v znení neskorších predpisov v časti konečných užívateľov výhod podľa § 11 predmetného zákona,</w:t>
      </w:r>
    </w:p>
    <w:p w:rsidR="00000000" w:rsidDel="00000000" w:rsidP="00000000" w:rsidRDefault="00000000" w:rsidRPr="00000000" w14:paraId="0000008B">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každý subdodávateľ musí byť schopný realizovať príslušnú časť predmetu zákazky v rovnakej kvalite ako poskytovateľ.</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81"/>
        </w:tabs>
        <w:spacing w:after="0" w:before="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Identifikáciu subdodávateľa spolu s čestným vyhlásením poskytovateľa, že tento subdodávateľ spĺňa podmienky v zmysle bodu 9.3 tohto článku, musí poskytovateľ predložiť na schválenie objednávateľovi najneskôr tri pracovné dni pred začatím plánovanej subdodávky. Objednávateľ má právo odmietnuť podiel na realizácii plnenia predmetu rámcovej dohody subdodávateľom, ak nie sú splnené podmienky uvedené v bode 9.3 tohto článku rámcovej dohody.</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Poskytovateľ nie je oprávnený postúpiť pohľadávky vyplývajúce z tejto zmluvy na tretiu osobu bez súhlasu Objednávateľa.</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Zmluvné strany sa dohodli, že za okolnosti vylučujúce zodpovednosť zmluvných strán podľa tejto dohody sa považuje pôsobenie vyššej moci, pričom za takúto sa považuje požiar, zemetrasenie, havária, povodeň, štrajk, embargo, administratívne opatrenie štátu, COVID-19 a iné také udalosti a teda prekážky, ktoré nastali nezávisle od vôle zmluvných strán a bránia im v splnení ich povinností, ak nemožno rozumne predpokladať, že by zmluvné strany takúto prekážku alebo jej následky mohli odvrátiť alebo prekonať, ani ju v dobe vzniku záväzku predvídať a ktorým nemohli pri použití obvyklých prostriedkov a opatrení zabrániť. Účinky vylučujúce zodpovednosť sú obmedzené iba na dobu, dokiaľ trvá prekážka, s ktorou sú tieto účinky spojené.</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začatí ako aj o pominutí pôsobenia vyššej moci sú zmluvné strany povinné sa vzájomne bez meškania písomne informovať. Oslobodenie od zodpovednosti za neplnenie predmetu dohody trvá po dobu pôsobenia vyššej moci. Po uplynutí tejto doby sa zmluvné strany dohodnú na ďalšom postupe a prípadne na vzájomnom ukončení tejto dohody.</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Článok X</w:t>
      </w:r>
      <w:r w:rsidDel="00000000" w:rsidR="00000000" w:rsidRPr="00000000">
        <w:rPr>
          <w:rtl w:val="0"/>
        </w:rPr>
      </w:r>
    </w:p>
    <w:p w:rsidR="00000000" w:rsidDel="00000000" w:rsidP="00000000" w:rsidRDefault="00000000" w:rsidRPr="00000000" w14:paraId="0000009A">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Spôsob uzatvárania objednávok</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1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Objednávateľ zašle poskytovateľovi objednávku poštou na adresu uvedenú v Článku 1 tejto zmluvy alebo e-mailom na adresu: </w:t>
      </w:r>
      <w:hyperlink r:id="rId7">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w:t>
        </w:r>
      </w:hyperlink>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objednávke musia zmluvné strany uviesť: citáciu tejto zmluvy, špecifikáciu predmetu čiastkovej zmluvy (druh, množstvo), miesto poskytnutia služieb, meno, priezvisko a funkciu zodpovedných osôb oboch zmluvných strán, fakturačné údaje, cenu podľa Článku IV tejto zmluvy a ďalšie potrebné spresňujúce ustanovenia v súlade s touto zmluvou.</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X</w:t>
      </w:r>
      <w:r w:rsidDel="00000000" w:rsidR="00000000" w:rsidRPr="00000000">
        <w:rPr>
          <w:rFonts w:ascii="Arial" w:cs="Arial" w:eastAsia="Arial" w:hAnsi="Arial"/>
          <w:b w:val="1"/>
          <w:i w:val="1"/>
          <w:smallCaps w:val="0"/>
          <w:strike w:val="1"/>
          <w:color w:val="000000"/>
          <w:sz w:val="22"/>
          <w:szCs w:val="22"/>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A1">
      <w:pPr>
        <w:keepNext w:val="1"/>
        <w:keepLines w:val="1"/>
        <w:widowControl w:val="1"/>
        <w:pBdr>
          <w:top w:space="0" w:sz="0" w:val="nil"/>
          <w:left w:space="0" w:sz="0" w:val="nil"/>
          <w:bottom w:space="0" w:sz="0" w:val="nil"/>
          <w:right w:space="0" w:sz="0" w:val="nil"/>
          <w:between w:space="0" w:sz="0" w:val="nil"/>
        </w:pBdr>
        <w:shd w:fill="auto" w:val="clear"/>
        <w:spacing w:after="0" w:before="1"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Trvanie a ukončenie zmluvy</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6"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709"/>
        </w:tabs>
        <w:spacing w:after="0" w:before="0" w:line="240" w:lineRule="auto"/>
        <w:ind w:left="709" w:right="-6"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Zmluva je uzavretá na dobu určitú na 24 mesiacov odo dňa nadobudnutia jej účinnosti alebo do vyčerpania finančného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limitu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 bez DPH, podľa toho, ktorá skutočnosť nastane skôr.</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pos="865"/>
        </w:tabs>
        <w:spacing w:after="0" w:before="0" w:line="240" w:lineRule="auto"/>
        <w:ind w:left="709" w:right="-6"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709"/>
        </w:tabs>
        <w:spacing w:after="0" w:before="0" w:line="240" w:lineRule="auto"/>
        <w:ind w:left="709" w:right="-6"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Táto zmluva môže byť ukončená, okrem ustanovenia 11.1 Článku XI tejto zmluvy, jedným z nasledovných dôvodov:</w:t>
      </w:r>
    </w:p>
    <w:p w:rsidR="00000000" w:rsidDel="00000000" w:rsidP="00000000" w:rsidRDefault="00000000" w:rsidRPr="00000000" w14:paraId="000000A6">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pos="709"/>
          <w:tab w:val="left" w:pos="1597"/>
        </w:tabs>
        <w:spacing w:after="0" w:before="0" w:line="259" w:lineRule="auto"/>
        <w:ind w:left="567" w:right="-6"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odstúpením od zmluvy v zmysle bodu 11.3 a nasl. tohto článku tejto zmluvy,</w:t>
      </w:r>
    </w:p>
    <w:p w:rsidR="00000000" w:rsidDel="00000000" w:rsidP="00000000" w:rsidRDefault="00000000" w:rsidRPr="00000000" w14:paraId="000000A7">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pos="709"/>
          <w:tab w:val="left" w:pos="1597"/>
        </w:tabs>
        <w:spacing w:after="0" w:before="0" w:line="240" w:lineRule="auto"/>
        <w:ind w:left="709" w:right="-6"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písomnou výpoveďou ktorejkoľvek zo zmluvných strán bez udania dôvodu, s výpovednou  lehotou dva mesiace, ktorá začína plynúť prvým dňom nasledujúceho mesiaca po doručení výpovede druhej zmluvnej strane,</w:t>
      </w:r>
    </w:p>
    <w:p w:rsidR="00000000" w:rsidDel="00000000" w:rsidP="00000000" w:rsidRDefault="00000000" w:rsidRPr="00000000" w14:paraId="000000A8">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pos="709"/>
          <w:tab w:val="left" w:pos="1597"/>
        </w:tabs>
        <w:spacing w:after="0" w:before="0" w:line="240" w:lineRule="auto"/>
        <w:ind w:left="567" w:right="-6"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výpoveďou v zmysle bodu 11.11 tohto článku tejto zmluvy,</w:t>
      </w:r>
    </w:p>
    <w:p w:rsidR="00000000" w:rsidDel="00000000" w:rsidP="00000000" w:rsidRDefault="00000000" w:rsidRPr="00000000" w14:paraId="000000A9">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pos="709"/>
          <w:tab w:val="left" w:pos="1597"/>
        </w:tabs>
        <w:spacing w:after="0" w:before="0" w:line="240" w:lineRule="auto"/>
        <w:ind w:left="709" w:right="-6"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dňom straty oprávnenia poskytovateľa k výkonu činnosti, ktorá je potrebná pre poskytnutie služby, bez potreby uskutočnenia akéhokoľvek úkonu zo strany zmluvných strán,</w:t>
      </w:r>
    </w:p>
    <w:p w:rsidR="00000000" w:rsidDel="00000000" w:rsidP="00000000" w:rsidRDefault="00000000" w:rsidRPr="00000000" w14:paraId="000000AA">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pos="709"/>
          <w:tab w:val="left" w:pos="1597"/>
        </w:tabs>
        <w:spacing w:after="0" w:before="0" w:line="240" w:lineRule="auto"/>
        <w:ind w:left="567" w:right="-6"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písomnou dohodou zmluvných strán aj bez uvedenia dôvodu,</w:t>
      </w:r>
    </w:p>
    <w:p w:rsidR="00000000" w:rsidDel="00000000" w:rsidP="00000000" w:rsidRDefault="00000000" w:rsidRPr="00000000" w14:paraId="000000AB">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pos="709"/>
          <w:tab w:val="left" w:pos="1597"/>
        </w:tabs>
        <w:spacing w:after="0" w:before="0" w:line="240" w:lineRule="auto"/>
        <w:ind w:left="709" w:right="-6"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dňom vyhlásenia konkurzu alebo likvidácie na poskytovateľa, bez potreby uskutočnenia akéhokoľvek úkonu zo strany zmluvných strán.</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865"/>
        </w:tabs>
        <w:spacing w:after="0" w:before="0" w:line="240" w:lineRule="auto"/>
        <w:ind w:left="426" w:right="-6" w:hanging="4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Každá zo zmluvných strán je oprávnená odstúpiť od zmluvy pri podstatnom porušení zmluvnej povinnosti druhou zmluvnou stranou, alebo keď sa pre druhú zmluvnú stranu stalo splnenie podstatných zmluvných povinností úplne nemožným.</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podstatné porušenie zmluvnej povinnosti sa na účely tejto zmluvy považuje najmä:</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3"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426"/>
        </w:tabs>
        <w:spacing w:after="0" w:before="1" w:line="237"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omeškanie poskytovateľa s poskytnutím predmetu zmluvy oproti dohodnutému termínu o viac ako 10 dní, okrem prípadu, ktorý by omeškanie ospravedlňoval (vyššia moc), ak v objednávke nebude dohodnuté inak,</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120" w:before="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426"/>
        </w:tabs>
        <w:spacing w:after="0" w:before="0" w:line="242"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 cena bude fakturovaná v rozpore s platobnými podmienkami dohodnutými v tejto zmluve,</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120" w:before="5"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426"/>
          <w:tab w:val="left" w:pos="525"/>
          <w:tab w:val="left" w:pos="526"/>
        </w:tabs>
        <w:spacing w:after="0" w:before="9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 poskytovateľ poskytne objednávateľovi služby vo vážnom rozpore s predmetom zmluvy a prílohy č. 2,</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426"/>
          <w:tab w:val="left" w:pos="525"/>
          <w:tab w:val="left" w:pos="526"/>
        </w:tabs>
        <w:spacing w:after="0" w:before="0" w:line="240" w:lineRule="auto"/>
        <w:ind w:left="426" w:right="-6"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omeškanie objednávateľa s úhradou ktorejkoľvek faktúry o viac ako 30 dní po lehote splatnosti podľa článku V bod 5.2 tejto zmluvy,</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781"/>
        </w:tabs>
        <w:spacing w:after="0" w:before="0" w:line="240" w:lineRule="auto"/>
        <w:ind w:left="0" w:right="-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poštovných služieb alebo kuriéra druhej zmluvnej strane. V prípade pochybností sa má za to, že je odstúpenie doručené siedmy deň po jeho odoslaní. Doručuje sa zásadne na poslednú známu adresu zmluvnej strany.</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Odstúpením od zmluvy nezaniká nárok oprávnenej strany na zaplatenie zmluvných pokút a na náhradu vzniknutej škody.</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Zmluvné strany nie sú zodpovedné za čiastočné alebo úplné neplnenie zmluvných záväzkov následkom pôsobenia vyššej moci v zmysle § 374 Obchodného zákonníka.</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prípade pôsobenia vyššej moci, lehoty dohodnuté k plneniu zmluvných záväzkov sa predlžujú o dobu jej pôsobenia.</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Objednávateľ je oprávnený v zmysle § 11 Zákona o verejnom obstarávaní vypovedať túto zmluvu, ak poskytovateľ nebol v čase uzavretia zmluvy zapísaný v registri partnerov verejného sektora. Zmluva v tomto prípade zaniká v deň nasledujúci po dni doručenia výpovede poskytovateľovi.</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Článok XI</w:t>
      </w:r>
      <w:r w:rsidDel="00000000" w:rsidR="00000000" w:rsidRPr="00000000">
        <w:rPr>
          <w:rFonts w:ascii="Arial" w:cs="Arial" w:eastAsia="Arial" w:hAnsi="Arial"/>
          <w:b w:val="1"/>
          <w:i w:val="1"/>
          <w:smallCaps w:val="0"/>
          <w:strike w:val="1"/>
          <w:color w:val="000000"/>
          <w:sz w:val="22"/>
          <w:szCs w:val="22"/>
          <w:u w:val="none"/>
          <w:shd w:fill="auto" w:val="clear"/>
          <w:vertAlign w:val="baseline"/>
          <w:rtl w:val="0"/>
        </w:rPr>
        <w:t xml:space="preserve">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A">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6"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Záverečné ustanovenia</w:t>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1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Právne vzťahy zmluvných strán neupravené touto zmluvou sa riadia príslušnými ustanoveniami Obchodného zákonníka a ostatnými právnymi predpismi SR.</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65"/>
        </w:tabs>
        <w:spacing w:after="0" w:before="9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Táto zmluva nadobúda platnosť dňom jej podpisu obidvomi zmluvnými stranami a účinnosť dňom nasledujúcim po dni jej zverejnenia v Centrálnom registri zmlúv. Poskytovateľ týmto prehlasuje, že súhlasí so zverejnením tejto zmluvy v celom rozsahu. Je vyhotovená v štyroch rovnopisoch, z ktorých objednávateľ obdrží dva a poskytovateľ dva rovnopisy.</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prípade, že sa niektoré z ustanovení tejto zmluvy stane neplatným, zostáva platnosť ostatných ustanovení nedotknutá. Ak nastane takáto situácia, zmluvné strany sa písomne, formou očíslovaného dodatku, dohodnú na riešení, ktoré zachová kontext a účel daného ustanovenia.</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65"/>
        </w:tabs>
        <w:spacing w:after="0" w:before="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Akékoľvek zmeny a doplnky tejto zmluvy budú zmluvné strany riešiť formou písomných očíslovaných dodatkov v súlade so Zákonom o verejnom obstarávaní, ktoré sa po obojstrannom súhlasnom podpise oboch zmluvných strán stanú neoddeliteľnou súčasťou tejto zmluvy.</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7"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 SR.</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9"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Verejný obstarávateľ si v procese verejného obstarávania vyhradzuje právo neuzatvoriť zmluvu s úspešným uchádzačom v prípade, ak proces verejného obstarávania nebude akceptovaný zo strany poskytovateľa finančných prostriedkov, alebo v prípade, ak nebudú pridelené finančné prostriedky na realizáciu zákazky zo strany poskytovateľa.</w:t>
      </w:r>
    </w:p>
    <w:p w:rsidR="00000000" w:rsidDel="00000000" w:rsidP="00000000" w:rsidRDefault="00000000" w:rsidRPr="00000000" w14:paraId="000000D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prípade zmeny obchodného mena, názvu, sídla, právnej formy, štatutárnych orgánov alebo i spôsobu ich konania, bankového spojenia a čísla účtu, ako i ďalších identifikačných údajov,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7"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65"/>
        </w:tabs>
        <w:spacing w:after="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Zmluvné strany prehlasujú, že zmluvu uzavreli slobodne a vážne, zmluva nebola uzatvorená v tiesni ani za iných nevýhodných podmienok. Zmluvné strany si túto zmluvu prečítali, jej obsahu porozumeli a na znak súhlasu ju vlastnoručne podpísali.</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Bratislave dňa.................</w:t>
        <w:tab/>
        <w:t xml:space="preserve">V Bratislave dňa................</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20" w:before="185"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objednávateľa:</w:t>
        <w:tab/>
        <w:t xml:space="preserve">za poskytovateľa:</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20" w:before="9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6840" w:w="11910" w:orient="portrait"/>
          <w:pgMar w:bottom="1500" w:top="1780" w:left="1100" w:right="680" w:header="708" w:footer="708"/>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7655"/>
        </w:tabs>
        <w:spacing w:after="120" w:before="0" w:line="276"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1"/>
          <w:szCs w:val="21"/>
          <w:highlight w:val="white"/>
          <w:u w:val="none"/>
          <w:vertAlign w:val="baseline"/>
          <w:rtl w:val="0"/>
        </w:rPr>
        <w:t xml:space="preserve">       Ing. Roland Schaller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7655"/>
        </w:tabs>
        <w:spacing w:after="120" w:before="0" w:line="276" w:lineRule="auto"/>
        <w:ind w:left="0" w:right="-6" w:firstLine="0"/>
        <w:jc w:val="both"/>
        <w:rPr>
          <w:rFonts w:ascii="Arial" w:cs="Arial" w:eastAsia="Arial" w:hAnsi="Arial"/>
          <w:b w:val="0"/>
          <w:i w:val="0"/>
          <w:smallCaps w:val="0"/>
          <w:strike w:val="0"/>
          <w:color w:val="000000"/>
          <w:sz w:val="22"/>
          <w:szCs w:val="22"/>
          <w:u w:val="none"/>
          <w:shd w:fill="auto" w:val="clear"/>
          <w:vertAlign w:val="baseline"/>
        </w:rPr>
        <w:sectPr>
          <w:type w:val="continuous"/>
          <w:pgSz w:h="16840" w:w="11910" w:orient="portrait"/>
          <w:pgMar w:bottom="1500" w:top="1780" w:left="1100" w:right="680" w:header="708" w:footer="708"/>
        </w:sect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riaditeľ UNB</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1574"/>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1574"/>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Príloha č.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Cenová ponuka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(doplní poskytovateľ)</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1567"/>
        </w:tabs>
        <w:spacing w:after="120" w:before="0" w:line="240" w:lineRule="auto"/>
        <w:ind w:left="0" w:right="-6" w:firstLine="0"/>
        <w:jc w:val="both"/>
        <w:rPr>
          <w:rFonts w:ascii="Arial" w:cs="Arial" w:eastAsia="Arial" w:hAnsi="Arial"/>
          <w:i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Príloha č.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Opis predmetu zákazky </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1567"/>
        </w:tabs>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Príloha č.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Súhlas na prepravu nebezpečných odpadov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(doplní poskytovateľ)</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120" w:before="0" w:line="276" w:lineRule="auto"/>
        <w:ind w:left="0" w:right="-6" w:firstLine="0"/>
        <w:jc w:val="both"/>
        <w:rPr>
          <w:rFonts w:ascii="Arial" w:cs="Arial" w:eastAsia="Arial" w:hAnsi="Arial"/>
          <w:b w:val="0"/>
          <w:i w:val="0"/>
          <w:smallCaps w:val="0"/>
          <w:strike w:val="0"/>
          <w:color w:val="000000"/>
          <w:sz w:val="22"/>
          <w:szCs w:val="22"/>
          <w:u w:val="none"/>
          <w:shd w:fill="auto" w:val="clear"/>
          <w:vertAlign w:val="baseline"/>
        </w:rPr>
        <w:sectPr>
          <w:type w:val="continuous"/>
          <w:pgSz w:h="16840" w:w="11910" w:orient="portrait"/>
          <w:pgMar w:bottom="1500" w:top="1780" w:left="1100" w:right="680" w:header="708" w:footer="708"/>
        </w:sect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Príloha č. 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Subdodávatelia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(doplní poskytovateľ)</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Príloha č. 1 Rámcovej dohody</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Cenová ponuka</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(doplní uchádzač)</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54.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2"/>
        <w:gridCol w:w="1027"/>
        <w:gridCol w:w="1137"/>
        <w:gridCol w:w="580"/>
        <w:gridCol w:w="1197"/>
        <w:gridCol w:w="1245"/>
        <w:gridCol w:w="1119"/>
        <w:gridCol w:w="1228"/>
        <w:tblGridChange w:id="0">
          <w:tblGrid>
            <w:gridCol w:w="2222"/>
            <w:gridCol w:w="1027"/>
            <w:gridCol w:w="1137"/>
            <w:gridCol w:w="580"/>
            <w:gridCol w:w="1197"/>
            <w:gridCol w:w="1245"/>
            <w:gridCol w:w="1119"/>
            <w:gridCol w:w="1228"/>
          </w:tblGrid>
        </w:tblGridChange>
      </w:tblGrid>
      <w:tr>
        <w:trPr>
          <w:cantSplit w:val="0"/>
          <w:trHeight w:val="233" w:hRule="atLeast"/>
          <w:tblHeader w:val="0"/>
        </w:trPr>
        <w:tc>
          <w:tcPr>
            <w:shd w:fill="d9d9d9" w:val="clear"/>
            <w:tcMar>
              <w:top w:w="57.0" w:type="dxa"/>
              <w:left w:w="113.0" w:type="dxa"/>
              <w:bottom w:w="57.0" w:type="dxa"/>
            </w:tcM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36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Názov položky</w:t>
            </w:r>
            <w:r w:rsidDel="00000000" w:rsidR="00000000" w:rsidRPr="00000000">
              <w:rPr>
                <w:rtl w:val="0"/>
              </w:rPr>
            </w:r>
          </w:p>
        </w:tc>
        <w:tc>
          <w:tcPr>
            <w:shd w:fill="e0e0e0"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Množstvo v kg</w:t>
            </w:r>
            <w:r w:rsidDel="00000000" w:rsidR="00000000" w:rsidRPr="00000000">
              <w:rPr>
                <w:rtl w:val="0"/>
              </w:rPr>
            </w:r>
          </w:p>
        </w:tc>
        <w:tc>
          <w:tcPr>
            <w:shd w:fill="e0e0e0" w:val="clear"/>
            <w:tcMar>
              <w:top w:w="57.0" w:type="dxa"/>
              <w:left w:w="113.0" w:type="dxa"/>
              <w:bottom w:w="57.0" w:type="dxa"/>
            </w:tcM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Navrhovaná jednotková cena v EUR bez DPH</w:t>
            </w:r>
            <w:r w:rsidDel="00000000" w:rsidR="00000000" w:rsidRPr="00000000">
              <w:rPr>
                <w:rtl w:val="0"/>
              </w:rPr>
            </w:r>
          </w:p>
        </w:tc>
        <w:tc>
          <w:tcPr>
            <w:shd w:fill="e0e0e0"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DPH</w:t>
              <w:br w:type="textWrapping"/>
              <w:t xml:space="preserve">v EUR</w:t>
            </w:r>
            <w:r w:rsidDel="00000000" w:rsidR="00000000" w:rsidRPr="00000000">
              <w:rPr>
                <w:rtl w:val="0"/>
              </w:rPr>
            </w:r>
          </w:p>
        </w:tc>
        <w:tc>
          <w:tcPr>
            <w:shd w:fill="e0e0e0"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Navrhovaná jednotková cena v EUR s DPH</w:t>
            </w:r>
            <w:r w:rsidDel="00000000" w:rsidR="00000000" w:rsidRPr="00000000">
              <w:rPr>
                <w:rtl w:val="0"/>
              </w:rPr>
            </w:r>
          </w:p>
        </w:tc>
        <w:tc>
          <w:tcPr>
            <w:shd w:fill="e0e0e0"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Navrhovaná celková cena v EUR</w:t>
              <w:br w:type="textWrapping"/>
              <w:t xml:space="preserve">bez DPH</w:t>
            </w:r>
            <w:r w:rsidDel="00000000" w:rsidR="00000000" w:rsidRPr="00000000">
              <w:rPr>
                <w:rtl w:val="0"/>
              </w:rPr>
            </w:r>
          </w:p>
        </w:tc>
        <w:tc>
          <w:tcPr>
            <w:shd w:fill="e0e0e0"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DPH</w:t>
              <w:br w:type="textWrapping"/>
              <w:t xml:space="preserve">v EUR</w:t>
            </w:r>
            <w:r w:rsidDel="00000000" w:rsidR="00000000" w:rsidRPr="00000000">
              <w:rPr>
                <w:rtl w:val="0"/>
              </w:rPr>
            </w:r>
          </w:p>
        </w:tc>
        <w:tc>
          <w:tcPr>
            <w:shd w:fill="e0e0e0" w:val="clear"/>
            <w:tcMar>
              <w:top w:w="57.0" w:type="dxa"/>
              <w:left w:w="113.0" w:type="dxa"/>
              <w:bottom w:w="57.0" w:type="dxa"/>
            </w:tcM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Navrhovaná celková cena v EUR s DPH</w:t>
            </w:r>
            <w:r w:rsidDel="00000000" w:rsidR="00000000" w:rsidRPr="00000000">
              <w:rPr>
                <w:rtl w:val="0"/>
              </w:rPr>
            </w:r>
          </w:p>
        </w:tc>
      </w:tr>
      <w:tr>
        <w:trPr>
          <w:cantSplit w:val="0"/>
          <w:trHeight w:val="211" w:hRule="atLeast"/>
          <w:tblHeader w:val="0"/>
        </w:trPr>
        <w:tc>
          <w:tcPr>
            <w:shd w:fill="auto" w:val="clear"/>
            <w:tcMar>
              <w:top w:w="57.0" w:type="dxa"/>
              <w:left w:w="113.0" w:type="dxa"/>
              <w:bottom w:w="57.0" w:type="dxa"/>
            </w:tcMar>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18 01 03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O</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dpady, ktorých zber a zneškodňovanie podliehajú osobitným požiadavkám z hľadiska prevencie nákazy</w:t>
            </w:r>
            <w:r w:rsidDel="00000000" w:rsidR="00000000" w:rsidRPr="00000000">
              <w:rPr>
                <w:rtl w:val="0"/>
              </w:rPr>
            </w:r>
          </w:p>
        </w:tc>
        <w:tc>
          <w:tcPr>
            <w:shd w:fill="auto" w:val="clea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15"/>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4 400 000</w:t>
            </w:r>
            <w:r w:rsidDel="00000000" w:rsidR="00000000" w:rsidRPr="00000000">
              <w:rPr>
                <w:rtl w:val="0"/>
              </w:rPr>
            </w:r>
          </w:p>
        </w:tc>
        <w:tc>
          <w:tcPr>
            <w:shd w:fill="auto" w:val="clear"/>
            <w:tcMar>
              <w:top w:w="57.0" w:type="dxa"/>
              <w:left w:w="113.0" w:type="dxa"/>
              <w:bottom w:w="57.0" w:type="dxa"/>
            </w:tcMa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36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6a6a6" w:val="clear"/>
            <w:tcMar>
              <w:top w:w="57.0" w:type="dxa"/>
              <w:left w:w="113.0" w:type="dxa"/>
              <w:bottom w:w="57.0" w:type="dxa"/>
            </w:tcMa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293" w:right="0" w:hanging="293"/>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11" w:hRule="atLeast"/>
          <w:tblHeader w:val="0"/>
        </w:trPr>
        <w:tc>
          <w:tcPr>
            <w:shd w:fill="auto" w:val="clear"/>
            <w:tcMar>
              <w:top w:w="57.0" w:type="dxa"/>
              <w:left w:w="113.0" w:type="dxa"/>
              <w:bottom w:w="57.0" w:type="dxa"/>
            </w:tcMar>
            <w:vAlign w:val="cente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18 01 02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Č</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asti a orgány tiel vrátane krvných vreciek a krvných konzerv okrem 18 01 03</w:t>
            </w:r>
            <w:r w:rsidDel="00000000" w:rsidR="00000000" w:rsidRPr="00000000">
              <w:rPr>
                <w:rtl w:val="0"/>
              </w:rPr>
            </w:r>
          </w:p>
        </w:tc>
        <w:tc>
          <w:tcPr>
            <w:shd w:fill="auto" w:val="clea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15"/>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31 200</w:t>
            </w:r>
            <w:r w:rsidDel="00000000" w:rsidR="00000000" w:rsidRPr="00000000">
              <w:rPr>
                <w:rtl w:val="0"/>
              </w:rPr>
            </w:r>
          </w:p>
        </w:tc>
        <w:tc>
          <w:tcPr>
            <w:shd w:fill="auto" w:val="clear"/>
            <w:tcMar>
              <w:top w:w="57.0" w:type="dxa"/>
              <w:left w:w="113.0" w:type="dxa"/>
              <w:bottom w:w="57.0" w:type="dxa"/>
            </w:tcMa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36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6a6a6" w:val="clear"/>
            <w:tcMar>
              <w:top w:w="57.0" w:type="dxa"/>
              <w:left w:w="113.0" w:type="dxa"/>
              <w:bottom w:w="57.0" w:type="dxa"/>
            </w:tcMa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4" w:hRule="atLeast"/>
          <w:tblHeader w:val="0"/>
        </w:trPr>
        <w:tc>
          <w:tcPr>
            <w:shd w:fill="auto" w:val="clear"/>
            <w:tcMar>
              <w:top w:w="57.0" w:type="dxa"/>
              <w:left w:w="113.0" w:type="dxa"/>
              <w:bottom w:w="57.0" w:type="dxa"/>
            </w:tcMar>
            <w:vAlign w:val="cente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18 01 08</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ytotoxické a cytostatické liečivá</w:t>
            </w:r>
            <w:r w:rsidDel="00000000" w:rsidR="00000000" w:rsidRPr="00000000">
              <w:rPr>
                <w:rtl w:val="0"/>
              </w:rPr>
            </w:r>
          </w:p>
        </w:tc>
        <w:tc>
          <w:tcPr>
            <w:shd w:fill="auto" w:val="clear"/>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1 248</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15"/>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57.0" w:type="dxa"/>
              <w:left w:w="113.0" w:type="dxa"/>
              <w:bottom w:w="57.0" w:type="dxa"/>
            </w:tcMa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36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6a6a6" w:val="clear"/>
            <w:tcMar>
              <w:top w:w="57.0" w:type="dxa"/>
              <w:left w:w="113.0" w:type="dxa"/>
              <w:bottom w:w="57.0" w:type="dxa"/>
            </w:tcMa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shd w:fill="auto" w:val="clear"/>
            <w:tcMar>
              <w:top w:w="57.0" w:type="dxa"/>
              <w:left w:w="113.0" w:type="dxa"/>
              <w:bottom w:w="57.0" w:type="dxa"/>
            </w:tcMar>
            <w:vAlign w:val="cente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18 01 09</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L</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iečivá iné ako uvedené v 18 01 08</w:t>
            </w:r>
            <w:r w:rsidDel="00000000" w:rsidR="00000000" w:rsidRPr="00000000">
              <w:rPr>
                <w:rtl w:val="0"/>
              </w:rPr>
            </w:r>
          </w:p>
        </w:tc>
        <w:tc>
          <w:tcPr>
            <w:shd w:fill="auto" w:val="cle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10" w:right="0" w:firstLine="25"/>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480</w:t>
            </w:r>
            <w:r w:rsidDel="00000000" w:rsidR="00000000" w:rsidRPr="00000000">
              <w:rPr>
                <w:rtl w:val="0"/>
              </w:rPr>
            </w:r>
          </w:p>
        </w:tc>
        <w:tc>
          <w:tcPr>
            <w:shd w:fill="auto" w:val="clear"/>
            <w:tcMar>
              <w:top w:w="57.0" w:type="dxa"/>
              <w:left w:w="113.0" w:type="dxa"/>
              <w:bottom w:w="57.0" w:type="dxa"/>
            </w:tcMar>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36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6a6a6" w:val="clear"/>
            <w:tcMar>
              <w:top w:w="57.0" w:type="dxa"/>
              <w:left w:w="113.0" w:type="dxa"/>
              <w:bottom w:w="57.0" w:type="dxa"/>
            </w:tcMa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 w:hRule="atLeast"/>
          <w:tblHeader w:val="0"/>
        </w:trPr>
        <w:tc>
          <w:tcPr>
            <w:shd w:fill="auto" w:val="clear"/>
            <w:tcMar>
              <w:top w:w="57.0" w:type="dxa"/>
              <w:left w:w="113.0" w:type="dxa"/>
              <w:bottom w:w="57.0" w:type="dxa"/>
            </w:tcMar>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18 02 02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O</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dpady, ktorých zber a zneškodňovanie podliehajú osobitným požiadavkám z hľadiska prevencie nákazy</w:t>
            </w:r>
            <w:r w:rsidDel="00000000" w:rsidR="00000000" w:rsidRPr="00000000">
              <w:rPr>
                <w:rtl w:val="0"/>
              </w:rPr>
            </w:r>
          </w:p>
        </w:tc>
        <w:tc>
          <w:tcPr>
            <w:shd w:fill="auto" w:val="clea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3 600</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15"/>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57.0" w:type="dxa"/>
              <w:left w:w="113.0" w:type="dxa"/>
              <w:bottom w:w="57.0" w:type="dxa"/>
            </w:tcMa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36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6a6a6" w:val="clear"/>
            <w:tcMar>
              <w:top w:w="57.0" w:type="dxa"/>
              <w:left w:w="113.0" w:type="dxa"/>
              <w:bottom w:w="57.0" w:type="dxa"/>
            </w:tcMa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1" w:hRule="atLeast"/>
          <w:tblHeader w:val="0"/>
        </w:trPr>
        <w:tc>
          <w:tcPr>
            <w:shd w:fill="auto" w:val="clear"/>
            <w:tcMar>
              <w:top w:w="57.0" w:type="dxa"/>
              <w:left w:w="113.0" w:type="dxa"/>
              <w:bottom w:w="57.0" w:type="dxa"/>
            </w:tcMar>
            <w:vAlign w:val="cente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15 01 10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baly obsahujúce zvyšky nebezpečných látok alebo kontaminované nebezpečnými látkami</w:t>
            </w:r>
            <w:r w:rsidDel="00000000" w:rsidR="00000000" w:rsidRPr="00000000">
              <w:rPr>
                <w:rtl w:val="0"/>
              </w:rPr>
            </w:r>
          </w:p>
        </w:tc>
        <w:tc>
          <w:tcPr>
            <w:shd w:fill="auto" w:val="clea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120</w:t>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15"/>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57.0" w:type="dxa"/>
              <w:left w:w="113.0" w:type="dxa"/>
              <w:bottom w:w="57.0" w:type="dxa"/>
            </w:tcMar>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36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6a6a6" w:val="clear"/>
            <w:tcMar>
              <w:top w:w="57.0" w:type="dxa"/>
              <w:left w:w="113.0" w:type="dxa"/>
              <w:bottom w:w="57.0" w:type="dxa"/>
            </w:tcMar>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1" w:hRule="atLeast"/>
          <w:tblHeader w:val="0"/>
        </w:trPr>
        <w:tc>
          <w:tcPr>
            <w:shd w:fill="auto" w:val="clear"/>
            <w:tcMar>
              <w:top w:w="57.0" w:type="dxa"/>
              <w:left w:w="113.0" w:type="dxa"/>
              <w:bottom w:w="57.0" w:type="dxa"/>
            </w:tcMar>
            <w:vAlign w:val="cente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18 01 06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hemikálie pozostávajúce z nebezpečných látok alebo obsahujúce nebezpečné látky</w:t>
            </w:r>
            <w:r w:rsidDel="00000000" w:rsidR="00000000" w:rsidRPr="00000000">
              <w:rPr>
                <w:rtl w:val="0"/>
              </w:rPr>
            </w:r>
          </w:p>
        </w:tc>
        <w:tc>
          <w:tcPr>
            <w:shd w:fill="auto" w:val="clea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15"/>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30</w:t>
            </w:r>
            <w:r w:rsidDel="00000000" w:rsidR="00000000" w:rsidRPr="00000000">
              <w:rPr>
                <w:rtl w:val="0"/>
              </w:rPr>
            </w:r>
          </w:p>
        </w:tc>
        <w:tc>
          <w:tcPr>
            <w:shd w:fill="auto" w:val="clear"/>
            <w:tcMar>
              <w:top w:w="57.0" w:type="dxa"/>
              <w:left w:w="113.0" w:type="dxa"/>
              <w:bottom w:w="57.0" w:type="dxa"/>
            </w:tcMar>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36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72" w:right="0" w:firstLine="72"/>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6a6a6" w:val="clear"/>
            <w:tcMar>
              <w:top w:w="57.0" w:type="dxa"/>
              <w:left w:w="113.0" w:type="dxa"/>
              <w:bottom w:w="57.0" w:type="dxa"/>
            </w:tcMa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60" w:hRule="atLeast"/>
          <w:tblHeader w:val="0"/>
        </w:trPr>
        <w:tc>
          <w:tcPr>
            <w:gridSpan w:val="5"/>
            <w:shd w:fill="auto" w:val="clear"/>
            <w:tcMar>
              <w:top w:w="57.0" w:type="dxa"/>
              <w:left w:w="113.0" w:type="dxa"/>
              <w:bottom w:w="57.0" w:type="dxa"/>
            </w:tcMar>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Celková cena za dodávku</w:t>
              <w:br w:type="textWrapping"/>
              <w:t xml:space="preserve">predmetu zákazky*:</w:t>
            </w:r>
            <w:r w:rsidDel="00000000" w:rsidR="00000000" w:rsidRPr="00000000">
              <w:rPr>
                <w:rtl w:val="0"/>
              </w:rPr>
            </w:r>
          </w:p>
        </w:tc>
        <w:tc>
          <w:tcPr>
            <w:shd w:fill="auto" w:val="clear"/>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6a6a6" w:val="clear"/>
            <w:tcMar>
              <w:top w:w="57.0" w:type="dxa"/>
              <w:left w:w="113.0" w:type="dxa"/>
              <w:bottom w:w="57.0" w:type="dxa"/>
            </w:tcMa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Príloha č. 2 Rámcovej dohody</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60" w:before="1" w:line="259" w:lineRule="auto"/>
        <w:ind w:left="0" w:right="0" w:firstLine="0"/>
        <w:jc w:val="center"/>
        <w:rPr>
          <w:b w:val="1"/>
          <w:sz w:val="26"/>
          <w:szCs w:val="26"/>
        </w:rPr>
      </w:pPr>
      <w:r w:rsidDel="00000000" w:rsidR="00000000" w:rsidRPr="00000000">
        <w:rPr>
          <w:b w:val="1"/>
          <w:sz w:val="26"/>
          <w:szCs w:val="26"/>
          <w:rtl w:val="0"/>
        </w:rPr>
        <w:t xml:space="preserve">Opis predmetu zákazky</w:t>
      </w:r>
    </w:p>
    <w:p w:rsidR="00000000" w:rsidDel="00000000" w:rsidP="00000000" w:rsidRDefault="00000000" w:rsidRPr="00000000" w14:paraId="0000013F">
      <w:pPr>
        <w:jc w:val="both"/>
        <w:rPr>
          <w:sz w:val="22"/>
          <w:szCs w:val="22"/>
        </w:rPr>
      </w:pPr>
      <w:r w:rsidDel="00000000" w:rsidR="00000000" w:rsidRPr="00000000">
        <w:rPr>
          <w:rtl w:val="0"/>
        </w:rPr>
      </w:r>
    </w:p>
    <w:p w:rsidR="00000000" w:rsidDel="00000000" w:rsidP="00000000" w:rsidRDefault="00000000" w:rsidRPr="00000000" w14:paraId="00000140">
      <w:pPr>
        <w:spacing w:before="1" w:lineRule="auto"/>
        <w:ind w:left="2410"/>
        <w:jc w:val="both"/>
        <w:rPr>
          <w:sz w:val="22"/>
          <w:szCs w:val="22"/>
        </w:rPr>
      </w:pPr>
      <w:r w:rsidDel="00000000" w:rsidR="00000000" w:rsidRPr="00000000">
        <w:rPr>
          <w:sz w:val="22"/>
          <w:szCs w:val="22"/>
          <w:rtl w:val="0"/>
        </w:rPr>
        <w:t xml:space="preserve">Názov zákazky:</w:t>
        <w:tab/>
        <w:t xml:space="preserve">„</w:t>
      </w:r>
      <w:r w:rsidDel="00000000" w:rsidR="00000000" w:rsidRPr="00000000">
        <w:rPr>
          <w:b w:val="1"/>
          <w:sz w:val="22"/>
          <w:szCs w:val="22"/>
          <w:rtl w:val="0"/>
        </w:rPr>
        <w:t xml:space="preserve">Zabezpečenie odberu, prepravy a zneškodňovania zdravotníckeho odpadu</w:t>
      </w:r>
      <w:r w:rsidDel="00000000" w:rsidR="00000000" w:rsidRPr="00000000">
        <w:rPr>
          <w:sz w:val="22"/>
          <w:szCs w:val="22"/>
          <w:rtl w:val="0"/>
        </w:rPr>
        <w:t xml:space="preserve">“</w:t>
      </w:r>
    </w:p>
    <w:p w:rsidR="00000000" w:rsidDel="00000000" w:rsidP="00000000" w:rsidRDefault="00000000" w:rsidRPr="00000000" w14:paraId="00000141">
      <w:pPr>
        <w:spacing w:before="1" w:line="320" w:lineRule="auto"/>
        <w:ind w:left="2410"/>
        <w:jc w:val="both"/>
        <w:rPr>
          <w:sz w:val="22"/>
          <w:szCs w:val="22"/>
        </w:rPr>
      </w:pPr>
      <w:r w:rsidDel="00000000" w:rsidR="00000000" w:rsidRPr="00000000">
        <w:rPr>
          <w:rtl w:val="0"/>
        </w:rPr>
      </w:r>
    </w:p>
    <w:p w:rsidR="00000000" w:rsidDel="00000000" w:rsidP="00000000" w:rsidRDefault="00000000" w:rsidRPr="00000000" w14:paraId="00000142">
      <w:pPr>
        <w:spacing w:before="1" w:lineRule="auto"/>
        <w:ind w:left="2410"/>
        <w:jc w:val="both"/>
        <w:rPr>
          <w:sz w:val="22"/>
          <w:szCs w:val="22"/>
        </w:rPr>
      </w:pPr>
      <w:r w:rsidDel="00000000" w:rsidR="00000000" w:rsidRPr="00000000">
        <w:rPr>
          <w:sz w:val="22"/>
          <w:szCs w:val="22"/>
          <w:rtl w:val="0"/>
        </w:rPr>
        <w:t xml:space="preserve">Verejný obstarávateľ:</w:t>
        <w:tab/>
      </w:r>
      <w:r w:rsidDel="00000000" w:rsidR="00000000" w:rsidRPr="00000000">
        <w:rPr>
          <w:b w:val="1"/>
          <w:sz w:val="22"/>
          <w:szCs w:val="22"/>
          <w:rtl w:val="0"/>
        </w:rPr>
        <w:t xml:space="preserve">Univerzitná nemocnica Bratislava</w:t>
      </w:r>
      <w:r w:rsidDel="00000000" w:rsidR="00000000" w:rsidRPr="00000000">
        <w:rPr>
          <w:rtl w:val="0"/>
        </w:rPr>
      </w:r>
    </w:p>
    <w:p w:rsidR="00000000" w:rsidDel="00000000" w:rsidP="00000000" w:rsidRDefault="00000000" w:rsidRPr="00000000" w14:paraId="00000143">
      <w:pPr>
        <w:spacing w:before="1" w:lineRule="auto"/>
        <w:jc w:val="both"/>
        <w:rPr>
          <w:b w:val="1"/>
          <w:sz w:val="22"/>
          <w:szCs w:val="22"/>
        </w:rPr>
      </w:pPr>
      <w:r w:rsidDel="00000000" w:rsidR="00000000" w:rsidRPr="00000000">
        <w:rPr>
          <w:rtl w:val="0"/>
        </w:rPr>
      </w:r>
    </w:p>
    <w:p w:rsidR="00000000" w:rsidDel="00000000" w:rsidP="00000000" w:rsidRDefault="00000000" w:rsidRPr="00000000" w14:paraId="00000144">
      <w:pPr>
        <w:spacing w:before="1" w:lineRule="auto"/>
        <w:jc w:val="both"/>
        <w:rPr>
          <w:b w:val="1"/>
          <w:sz w:val="22"/>
          <w:szCs w:val="22"/>
        </w:rPr>
      </w:pPr>
      <w:r w:rsidDel="00000000" w:rsidR="00000000" w:rsidRPr="00000000">
        <w:rPr>
          <w:rtl w:val="0"/>
        </w:rPr>
      </w:r>
    </w:p>
    <w:p w:rsidR="00000000" w:rsidDel="00000000" w:rsidP="00000000" w:rsidRDefault="00000000" w:rsidRPr="00000000" w14:paraId="00000145">
      <w:pPr>
        <w:spacing w:before="1" w:lineRule="auto"/>
        <w:jc w:val="both"/>
        <w:rPr>
          <w:b w:val="1"/>
          <w:sz w:val="22"/>
          <w:szCs w:val="22"/>
        </w:rPr>
      </w:pPr>
      <w:r w:rsidDel="00000000" w:rsidR="00000000" w:rsidRPr="00000000">
        <w:rPr>
          <w:b w:val="1"/>
          <w:sz w:val="22"/>
          <w:szCs w:val="22"/>
          <w:rtl w:val="0"/>
        </w:rPr>
        <w:t xml:space="preserve">Predmet zákazky:</w:t>
      </w:r>
    </w:p>
    <w:p w:rsidR="00000000" w:rsidDel="00000000" w:rsidP="00000000" w:rsidRDefault="00000000" w:rsidRPr="00000000" w14:paraId="00000146">
      <w:pPr>
        <w:spacing w:before="1" w:lineRule="auto"/>
        <w:jc w:val="both"/>
        <w:rPr>
          <w:sz w:val="22"/>
          <w:szCs w:val="22"/>
        </w:rPr>
      </w:pPr>
      <w:r w:rsidDel="00000000" w:rsidR="00000000" w:rsidRPr="00000000">
        <w:rPr>
          <w:rtl w:val="0"/>
        </w:rPr>
      </w:r>
    </w:p>
    <w:p w:rsidR="00000000" w:rsidDel="00000000" w:rsidP="00000000" w:rsidRDefault="00000000" w:rsidRPr="00000000" w14:paraId="00000147">
      <w:pPr>
        <w:spacing w:before="1" w:lineRule="auto"/>
        <w:jc w:val="both"/>
        <w:rPr>
          <w:sz w:val="22"/>
          <w:szCs w:val="22"/>
        </w:rPr>
      </w:pPr>
      <w:r w:rsidDel="00000000" w:rsidR="00000000" w:rsidRPr="00000000">
        <w:rPr>
          <w:sz w:val="22"/>
          <w:szCs w:val="22"/>
          <w:rtl w:val="0"/>
        </w:rPr>
        <w:t xml:space="preserve">Predmetom zákazky je zabezpečenie odberu, prepravy a zneškodňovania zdravotníckeho odpadu v zmysle Zákona č. 79/2015 Z. z. o odpadoch v znení neskorších predpisov a vyhlášky MŽP SR č. 284/2001 Z.z. v znení neskorších predpisov, ktorou sa ustanovuje Katalóg odpadov začlenených do kategórie: nebezpečné odpady (N) a ostatné odpady (O), do skupiny 18:180102, 180103, 180108, 180202, 150110, 180106 a 180109.</w:t>
      </w:r>
    </w:p>
    <w:p w:rsidR="00000000" w:rsidDel="00000000" w:rsidP="00000000" w:rsidRDefault="00000000" w:rsidRPr="00000000" w14:paraId="00000148">
      <w:pPr>
        <w:spacing w:before="1" w:lineRule="auto"/>
        <w:jc w:val="both"/>
        <w:rPr>
          <w:sz w:val="22"/>
          <w:szCs w:val="22"/>
        </w:rPr>
      </w:pPr>
      <w:r w:rsidDel="00000000" w:rsidR="00000000" w:rsidRPr="00000000">
        <w:rPr>
          <w:rtl w:val="0"/>
        </w:rPr>
      </w:r>
    </w:p>
    <w:p w:rsidR="00000000" w:rsidDel="00000000" w:rsidP="00000000" w:rsidRDefault="00000000" w:rsidRPr="00000000" w14:paraId="00000149">
      <w:pPr>
        <w:spacing w:before="1" w:lineRule="auto"/>
        <w:jc w:val="both"/>
        <w:rPr>
          <w:sz w:val="22"/>
          <w:szCs w:val="22"/>
        </w:rPr>
      </w:pPr>
      <w:r w:rsidDel="00000000" w:rsidR="00000000" w:rsidRPr="00000000">
        <w:rPr>
          <w:sz w:val="22"/>
          <w:szCs w:val="22"/>
          <w:rtl w:val="0"/>
        </w:rPr>
        <w:t xml:space="preserve">Odberateľ odpadov sa preukáže platnými povoleniami – rozhodnutiami na predmetnú činnosť. Odberateľ zdravotných odpadov ich bude zneškodňovať legislatívnym spôsobom a v súlade s platným povolením vydaným pôvodcovi odpadov (D10, R1).</w:t>
      </w:r>
    </w:p>
    <w:p w:rsidR="00000000" w:rsidDel="00000000" w:rsidP="00000000" w:rsidRDefault="00000000" w:rsidRPr="00000000" w14:paraId="0000014A">
      <w:pPr>
        <w:widowControl w:val="0"/>
        <w:tabs>
          <w:tab w:val="left" w:pos="781"/>
        </w:tabs>
        <w:ind w:right="-6"/>
        <w:jc w:val="both"/>
        <w:rPr>
          <w:sz w:val="22"/>
          <w:szCs w:val="22"/>
        </w:rPr>
      </w:pPr>
      <w:r w:rsidDel="00000000" w:rsidR="00000000" w:rsidRPr="00000000">
        <w:rPr>
          <w:rtl w:val="0"/>
        </w:rPr>
      </w:r>
    </w:p>
    <w:p w:rsidR="00000000" w:rsidDel="00000000" w:rsidP="00000000" w:rsidRDefault="00000000" w:rsidRPr="00000000" w14:paraId="0000014B">
      <w:pPr>
        <w:tabs>
          <w:tab w:val="left" w:pos="567"/>
        </w:tabs>
        <w:spacing w:after="160" w:line="259" w:lineRule="auto"/>
        <w:ind w:right="14"/>
        <w:jc w:val="both"/>
        <w:rPr>
          <w:sz w:val="22"/>
          <w:szCs w:val="22"/>
        </w:rPr>
      </w:pPr>
      <w:bookmarkStart w:colFirst="0" w:colLast="0" w:name="_heading=h.gjdgxs" w:id="0"/>
      <w:bookmarkEnd w:id="0"/>
      <w:r w:rsidDel="00000000" w:rsidR="00000000" w:rsidRPr="00000000">
        <w:rPr>
          <w:sz w:val="22"/>
          <w:szCs w:val="22"/>
          <w:rtl w:val="0"/>
        </w:rPr>
        <w:t xml:space="preserve">Odberateľ zabezpečí plnenie predmetu zákazky, v súlade s platnými všeobecnými záväznými predpismi v odpadovom hospodárstve. Odberateľ odpadov poskytne pôvodcovi odpadov </w:t>
      </w:r>
      <w:r w:rsidDel="00000000" w:rsidR="00000000" w:rsidRPr="00000000">
        <w:rPr>
          <w:sz w:val="22"/>
          <w:szCs w:val="22"/>
          <w:rtl w:val="0"/>
        </w:rPr>
        <w:t xml:space="preserve">minimálne 2 veľkokapacitné kryté kontajnery</w:t>
      </w:r>
      <w:r w:rsidDel="00000000" w:rsidR="00000000" w:rsidRPr="00000000">
        <w:rPr>
          <w:sz w:val="22"/>
          <w:szCs w:val="22"/>
          <w:rtl w:val="0"/>
        </w:rPr>
        <w:t xml:space="preserve"> s veľkosťou 30-40 m</w:t>
      </w:r>
      <w:r w:rsidDel="00000000" w:rsidR="00000000" w:rsidRPr="00000000">
        <w:rPr>
          <w:sz w:val="22"/>
          <w:szCs w:val="22"/>
          <w:vertAlign w:val="superscript"/>
          <w:rtl w:val="0"/>
        </w:rPr>
        <w:t xml:space="preserve">3</w:t>
      </w:r>
      <w:r w:rsidDel="00000000" w:rsidR="00000000" w:rsidRPr="00000000">
        <w:rPr>
          <w:sz w:val="22"/>
          <w:szCs w:val="22"/>
          <w:rtl w:val="0"/>
        </w:rPr>
        <w:t xml:space="preserve"> na pracovisko Zariadenie na zber odpadov Nemocnice sv. Cyrila a Metoda, Antolská ul. 11, 851 07 Bratislava </w:t>
      </w:r>
      <w:r w:rsidDel="00000000" w:rsidR="00000000" w:rsidRPr="00000000">
        <w:rPr>
          <w:sz w:val="22"/>
          <w:szCs w:val="22"/>
          <w:rtl w:val="0"/>
        </w:rPr>
        <w:t xml:space="preserve">a Nemocnica akademika Ladislava Dérera, Limbova 5,  833 05 Bratislava. Pri vývozoch sa pristavia na výmenu 2 prázdne kontajnery a odvezú sa všetky plné kontajnery.</w:t>
      </w:r>
      <w:r w:rsidDel="00000000" w:rsidR="00000000" w:rsidRPr="00000000">
        <w:rPr>
          <w:sz w:val="22"/>
          <w:szCs w:val="22"/>
          <w:rtl w:val="0"/>
        </w:rPr>
        <w:t xml:space="preserve"> Odberateľ zabezpečí odvoz odpadov zo zariadenia na zber odpadov v dohodnutých intervaloch </w:t>
      </w:r>
      <w:r w:rsidDel="00000000" w:rsidR="00000000" w:rsidRPr="00000000">
        <w:rPr>
          <w:color w:val="ff0000"/>
          <w:sz w:val="22"/>
          <w:szCs w:val="22"/>
          <w:rtl w:val="0"/>
        </w:rPr>
        <w:t xml:space="preserve">podľa objednávky</w:t>
      </w:r>
      <w:r w:rsidDel="00000000" w:rsidR="00000000" w:rsidRPr="00000000">
        <w:rPr>
          <w:sz w:val="22"/>
          <w:szCs w:val="22"/>
          <w:rtl w:val="0"/>
        </w:rPr>
        <w:t xml:space="preserve"> min. </w:t>
      </w:r>
      <w:r w:rsidDel="00000000" w:rsidR="00000000" w:rsidRPr="00000000">
        <w:rPr>
          <w:color w:val="ff0000"/>
          <w:sz w:val="22"/>
          <w:szCs w:val="22"/>
          <w:rtl w:val="0"/>
        </w:rPr>
        <w:t xml:space="preserve">2</w:t>
      </w:r>
      <w:r w:rsidDel="00000000" w:rsidR="00000000" w:rsidRPr="00000000">
        <w:rPr>
          <w:sz w:val="22"/>
          <w:szCs w:val="22"/>
          <w:rtl w:val="0"/>
        </w:rPr>
        <w:t xml:space="preserve">-krát do týždňa. Podľa potreby zabezpečí aj mimoriadne odvozy mimo dohodnutého intervalu. v prípade potreby aj iné objekty patriace pod Univerzitnú nemocnicu v Bratislave: </w:t>
      </w:r>
    </w:p>
    <w:p w:rsidR="00000000" w:rsidDel="00000000" w:rsidP="00000000" w:rsidRDefault="00000000" w:rsidRPr="00000000" w14:paraId="0000014C">
      <w:pPr>
        <w:numPr>
          <w:ilvl w:val="0"/>
          <w:numId w:val="11"/>
        </w:numPr>
        <w:tabs>
          <w:tab w:val="left" w:pos="567"/>
        </w:tabs>
        <w:spacing w:after="160" w:line="259" w:lineRule="auto"/>
        <w:ind w:left="720" w:right="14" w:hanging="360"/>
        <w:jc w:val="both"/>
        <w:rPr>
          <w:rFonts w:ascii="Calibri" w:cs="Calibri" w:eastAsia="Calibri" w:hAnsi="Calibri"/>
          <w:sz w:val="22"/>
          <w:szCs w:val="22"/>
        </w:rPr>
      </w:pPr>
      <w:r w:rsidDel="00000000" w:rsidR="00000000" w:rsidRPr="00000000">
        <w:rPr>
          <w:sz w:val="22"/>
          <w:szCs w:val="22"/>
          <w:rtl w:val="0"/>
        </w:rPr>
        <w:t xml:space="preserve">Nemocnica Ružinov, Ružinovská 6,  826 06 Bratislava</w:t>
      </w:r>
    </w:p>
    <w:p w:rsidR="00000000" w:rsidDel="00000000" w:rsidP="00000000" w:rsidRDefault="00000000" w:rsidRPr="00000000" w14:paraId="0000014D">
      <w:pPr>
        <w:tabs>
          <w:tab w:val="left" w:pos="567"/>
        </w:tabs>
        <w:spacing w:line="259" w:lineRule="auto"/>
        <w:ind w:right="14"/>
        <w:jc w:val="both"/>
        <w:rPr>
          <w:sz w:val="22"/>
          <w:szCs w:val="22"/>
        </w:rPr>
      </w:pPr>
      <w:r w:rsidDel="00000000" w:rsidR="00000000" w:rsidRPr="00000000">
        <w:rPr>
          <w:sz w:val="22"/>
          <w:szCs w:val="22"/>
          <w:rtl w:val="0"/>
        </w:rPr>
        <w:t xml:space="preserve">Konkrétne miesto dodania bude spresnené v objednávke.</w:t>
      </w:r>
    </w:p>
    <w:p w:rsidR="00000000" w:rsidDel="00000000" w:rsidP="00000000" w:rsidRDefault="00000000" w:rsidRPr="00000000" w14:paraId="0000014E">
      <w:pPr>
        <w:jc w:val="both"/>
        <w:rPr>
          <w:sz w:val="22"/>
          <w:szCs w:val="22"/>
        </w:rPr>
      </w:pPr>
      <w:r w:rsidDel="00000000" w:rsidR="00000000" w:rsidRPr="00000000">
        <w:rPr>
          <w:rtl w:val="0"/>
        </w:rPr>
      </w:r>
    </w:p>
    <w:p w:rsidR="00000000" w:rsidDel="00000000" w:rsidP="00000000" w:rsidRDefault="00000000" w:rsidRPr="00000000" w14:paraId="0000014F">
      <w:pPr>
        <w:spacing w:before="1" w:lineRule="auto"/>
        <w:jc w:val="both"/>
        <w:rPr>
          <w:sz w:val="22"/>
          <w:szCs w:val="22"/>
        </w:rPr>
      </w:pPr>
      <w:r w:rsidDel="00000000" w:rsidR="00000000" w:rsidRPr="00000000">
        <w:rPr>
          <w:sz w:val="22"/>
          <w:szCs w:val="22"/>
          <w:rtl w:val="0"/>
        </w:rPr>
        <w:t xml:space="preserve">Odberateľ odpadov bude pôvodcovi odpadov predkladať príslušnú dokumentáciu o nakladaní so zdravotníckym odpadom v súlade s platnými zákonnými predpismi v odpadovom hospodárstve: </w:t>
      </w:r>
    </w:p>
    <w:p w:rsidR="00000000" w:rsidDel="00000000" w:rsidP="00000000" w:rsidRDefault="00000000" w:rsidRPr="00000000" w14:paraId="00000150">
      <w:pPr>
        <w:spacing w:before="1" w:lineRule="auto"/>
        <w:ind w:left="75" w:firstLine="0"/>
        <w:jc w:val="both"/>
        <w:rPr>
          <w:sz w:val="22"/>
          <w:szCs w:val="22"/>
        </w:rPr>
      </w:pPr>
      <w:r w:rsidDel="00000000" w:rsidR="00000000" w:rsidRPr="00000000">
        <w:rPr>
          <w:sz w:val="22"/>
          <w:szCs w:val="22"/>
          <w:rtl w:val="0"/>
        </w:rPr>
        <w:t xml:space="preserve">1) sprievodný list nebezpečných odpadov, </w:t>
      </w:r>
    </w:p>
    <w:p w:rsidR="00000000" w:rsidDel="00000000" w:rsidP="00000000" w:rsidRDefault="00000000" w:rsidRPr="00000000" w14:paraId="00000151">
      <w:pPr>
        <w:spacing w:before="1" w:lineRule="auto"/>
        <w:ind w:left="75" w:firstLine="0"/>
        <w:jc w:val="both"/>
        <w:rPr>
          <w:sz w:val="22"/>
          <w:szCs w:val="22"/>
        </w:rPr>
      </w:pPr>
      <w:r w:rsidDel="00000000" w:rsidR="00000000" w:rsidRPr="00000000">
        <w:rPr>
          <w:sz w:val="22"/>
          <w:szCs w:val="22"/>
          <w:rtl w:val="0"/>
        </w:rPr>
        <w:t xml:space="preserve">2) doklad o skutočnej hmotnosti zneškodňovaného odpadu.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160" w:before="1" w:line="259" w:lineRule="auto"/>
        <w:ind w:left="0" w:right="0" w:firstLine="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Tieto doklady potvrdené všetkými subjektami, ktoré sa na nakladaní s odpadmi zúčastňujú, bude odberateľ odpadov predkladať pôvodcovi odpadov spolu s účtovným dokladom – faktúrou najneskôr do šiestich kalendárnych dní po skončení mesiaca, v ktorom sa odber uskutočnil, aby si mohol pôvodca odpadov splniť nahlasovacie povinnosti voči orgánom štátnej správy. Dohodnutá cena za službu – predmet zákazky - bude pevná a konečná, vrátane všetkých nákladov.</w:t>
        <w:br w:type="textWrapping"/>
      </w:r>
      <w:r w:rsidDel="00000000" w:rsidR="00000000" w:rsidRPr="00000000">
        <w:rPr>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60" w:before="1"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160" w:before="1" w:line="259"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60" w:before="1" w:line="259"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Zoznam zdravotníckeho odpadu</w:t>
      </w: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67.0" w:type="dxa"/>
        <w:jc w:val="left"/>
        <w:tblInd w:w="0.0" w:type="dxa"/>
        <w:tblLayout w:type="fixed"/>
        <w:tblLook w:val="0000"/>
      </w:tblPr>
      <w:tblGrid>
        <w:gridCol w:w="921"/>
        <w:gridCol w:w="6379"/>
        <w:gridCol w:w="1767"/>
        <w:tblGridChange w:id="0">
          <w:tblGrid>
            <w:gridCol w:w="921"/>
            <w:gridCol w:w="6379"/>
            <w:gridCol w:w="1767"/>
          </w:tblGrid>
        </w:tblGridChange>
      </w:tblGrid>
      <w:tr>
        <w:trPr>
          <w:cantSplit w:val="0"/>
          <w:trHeight w:val="511"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Por. č.</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00" w:val="cle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Položka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00" w:val="cle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Predpokladané</w:t>
              <w:br w:type="textWrapping"/>
              <w:t xml:space="preserve">množstvo v kg</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18 01 03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dpady, ktorých zber a zneškodňovanie podliehajú osobitným požiadavkám z hľadiska prevencie nákazy</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4 400 000</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18 01 02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Č</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asti a orgány tiel vrátane krvných vreciek a krvných konzerv okrem 18 01 03</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31 200</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18 01 08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ytotoxické a cytostatické liečivá</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1 248</w:t>
            </w: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15"/>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18 01 09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iečivá iné ako uvedené v 18 01 08</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480</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18 02 02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dpady, ktorých zber a zneškodňovanie podliehajú osobitným požiadavkám z hľadiska prevencie nákazy</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3 600</w:t>
            </w: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15"/>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15 01 10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baly obsahujúce zvyšky nebezpečných látok alebo kontaminované nebezpečnými látkami</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120</w:t>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15"/>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4"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18 01 06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hemikálie pozostávajúce z nebezpečných látok alebo obsahujúce nebezpečné látky</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30</w:t>
            </w:r>
            <w:r w:rsidDel="00000000" w:rsidR="00000000" w:rsidRPr="00000000">
              <w:rPr>
                <w:rtl w:val="0"/>
              </w:rPr>
            </w:r>
          </w:p>
        </w:tc>
      </w:tr>
    </w:tbl>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60" w:before="1" w:line="259"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160" w:before="1" w:line="259"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Príloha č. 3 Rámcovej dohody</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120" w:before="7"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Súhlas na prepravu nebezpečných odpadov</w:t>
      </w: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6"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1340" w:top="1360" w:left="1100" w:right="680" w:header="283" w:footer="1153"/>
        </w:sect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120" w:before="9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Príloha č. 4 Rámcovej dohody</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160" w:before="260" w:line="259"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Subdodávatelia</w:t>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120" w:before="11"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72.0" w:type="dxa"/>
        <w:jc w:val="left"/>
        <w:tblInd w:w="15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69"/>
        <w:gridCol w:w="2768"/>
        <w:gridCol w:w="1484"/>
        <w:gridCol w:w="1277"/>
        <w:gridCol w:w="2974"/>
        <w:tblGridChange w:id="0">
          <w:tblGrid>
            <w:gridCol w:w="569"/>
            <w:gridCol w:w="2768"/>
            <w:gridCol w:w="1484"/>
            <w:gridCol w:w="1277"/>
            <w:gridCol w:w="2974"/>
          </w:tblGrid>
        </w:tblGridChange>
      </w:tblGrid>
      <w:tr>
        <w:trPr>
          <w:cantSplit w:val="0"/>
          <w:trHeight w:val="509" w:hRule="atLeast"/>
          <w:tblHeader w:val="0"/>
        </w:trPr>
        <w:tc>
          <w:tcPr>
            <w:tcBorders>
              <w:bottom w:color="000000" w:space="0" w:sz="4" w:val="single"/>
              <w:right w:color="000000" w:space="0" w:sz="4" w:val="single"/>
            </w:tcBorders>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 č.</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Obchodné meno a sídlo subdodávateľa</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IČO</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podiel</w:t>
              <w:br w:type="textWrapping"/>
              <w:t xml:space="preserve">na zákazke</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Predmet subdodávok</w:t>
            </w:r>
            <w:r w:rsidDel="00000000" w:rsidR="00000000" w:rsidRPr="00000000">
              <w:rPr>
                <w:rtl w:val="0"/>
              </w:rPr>
            </w:r>
          </w:p>
        </w:tc>
      </w:tr>
      <w:tr>
        <w:trPr>
          <w:cantSplit w:val="0"/>
          <w:trHeight w:val="397"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121"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5"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2" w:hRule="atLeast"/>
          <w:tblHeader w:val="0"/>
        </w:trPr>
        <w:tc>
          <w:tcPr>
            <w:tcBorders>
              <w:top w:color="000000" w:space="0" w:sz="4" w:val="single"/>
              <w:right w:color="000000" w:space="0" w:sz="4" w:val="single"/>
            </w:tcBorders>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20" w:before="2" w:line="240"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60" w:before="90" w:line="259" w:lineRule="auto"/>
        <w:ind w:left="0" w:right="-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Upozornenie: Subdodávateľ musí spĺňať podmienky účasti  týkajúce  sa  osobného  postavenia  anemôžu existovať u neho dôvody na vylúčenie podľa § 40 ods. 6 písm. a) až h) a ods. 7 Zákonao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verejného sektora.</w:t>
      </w:r>
      <w:r w:rsidDel="00000000" w:rsidR="00000000" w:rsidRPr="00000000">
        <w:rPr>
          <w:rtl w:val="0"/>
        </w:rPr>
      </w:r>
    </w:p>
    <w:sectPr>
      <w:type w:val="nextPage"/>
      <w:pgSz w:h="16840" w:w="11910"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-482599</wp:posOffset>
              </wp:positionH>
              <wp:positionV relativeFrom="paragraph">
                <wp:posOffset>9931400</wp:posOffset>
              </wp:positionV>
              <wp:extent cx="4515485" cy="161925"/>
              <wp:effectExtent b="0" l="0" r="0" t="0"/>
              <wp:wrapNone/>
              <wp:docPr id="2" name=""/>
              <a:graphic>
                <a:graphicData uri="http://schemas.microsoft.com/office/word/2010/wordprocessingShape">
                  <wps:wsp>
                    <wps:cNvSpPr/>
                    <wps:cNvPr id="3" name="Shape 3"/>
                    <wps:spPr>
                      <a:xfrm>
                        <a:off x="3093020" y="3703800"/>
                        <a:ext cx="4505960" cy="152400"/>
                      </a:xfrm>
                      <a:prstGeom prst="rect">
                        <a:avLst/>
                      </a:prstGeom>
                      <a:noFill/>
                      <a:ln>
                        <a:noFill/>
                      </a:ln>
                    </wps:spPr>
                    <wps:txbx>
                      <w:txbxContent>
                        <w:p w:rsidR="00000000" w:rsidDel="00000000" w:rsidP="00000000" w:rsidRDefault="00000000" w:rsidRPr="00000000">
                          <w:pPr>
                            <w:spacing w:after="160" w:before="12.000000476837158" w:line="258.99999618530273"/>
                            <w:ind w:left="2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ZABEZPEČENIE ODBERU, PREPRAVY A ZNEŠKODŇOVANIAZDRAVOTNÍCKEHO ODPADU</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-482599</wp:posOffset>
              </wp:positionH>
              <wp:positionV relativeFrom="paragraph">
                <wp:posOffset>9931400</wp:posOffset>
              </wp:positionV>
              <wp:extent cx="4515485" cy="16192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515485" cy="1619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6261100</wp:posOffset>
              </wp:positionH>
              <wp:positionV relativeFrom="paragraph">
                <wp:posOffset>9931400</wp:posOffset>
              </wp:positionV>
              <wp:extent cx="176530" cy="161925"/>
              <wp:effectExtent b="0" l="0" r="0" t="0"/>
              <wp:wrapNone/>
              <wp:docPr id="3" name=""/>
              <a:graphic>
                <a:graphicData uri="http://schemas.microsoft.com/office/word/2010/wordprocessingShape">
                  <wps:wsp>
                    <wps:cNvSpPr/>
                    <wps:cNvPr id="4" name="Shape 4"/>
                    <wps:spPr>
                      <a:xfrm>
                        <a:off x="5262498" y="3703800"/>
                        <a:ext cx="167005" cy="152400"/>
                      </a:xfrm>
                      <a:prstGeom prst="rect">
                        <a:avLst/>
                      </a:prstGeom>
                      <a:noFill/>
                      <a:ln>
                        <a:noFill/>
                      </a:ln>
                    </wps:spPr>
                    <wps:txbx>
                      <w:txbxContent>
                        <w:p w:rsidR="00000000" w:rsidDel="00000000" w:rsidP="00000000" w:rsidRDefault="00000000" w:rsidRPr="00000000">
                          <w:pPr>
                            <w:spacing w:after="160" w:before="12.000000476837158" w:line="258.99999618530273"/>
                            <w:ind w:left="40" w:right="0" w:firstLine="0"/>
                            <w:jc w:val="left"/>
                            <w:textDirection w:val="btLr"/>
                          </w:pPr>
                          <w:r w:rsidDel="00000000" w:rsidR="00000000" w:rsidRPr="00000000">
                            <w:rPr>
                              <w:rFonts w:ascii="Arial" w:cs="Arial" w:eastAsia="Arial" w:hAnsi="Arial"/>
                              <w:b w:val="0"/>
                              <w:i w:val="0"/>
                              <w:smallCaps w:val="0"/>
                              <w:strike w:val="0"/>
                              <w:color w:val="808080"/>
                              <w:sz w:val="18"/>
                              <w:vertAlign w:val="baseline"/>
                            </w:rPr>
                            <w:t xml:space="preserve"> PAGE 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80808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6261100</wp:posOffset>
              </wp:positionH>
              <wp:positionV relativeFrom="paragraph">
                <wp:posOffset>9931400</wp:posOffset>
              </wp:positionV>
              <wp:extent cx="176530" cy="161925"/>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76530" cy="1619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1146493</wp:posOffset>
              </wp:positionH>
              <wp:positionV relativeFrom="page">
                <wp:posOffset>291148</wp:posOffset>
              </wp:positionV>
              <wp:extent cx="2867660" cy="788035"/>
              <wp:effectExtent b="0" l="0" r="0" t="0"/>
              <wp:wrapNone/>
              <wp:docPr id="1" name=""/>
              <a:graphic>
                <a:graphicData uri="http://schemas.microsoft.com/office/word/2010/wordprocessingShape">
                  <wps:wsp>
                    <wps:cNvSpPr/>
                    <wps:cNvPr id="2" name="Shape 2"/>
                    <wps:spPr>
                      <a:xfrm>
                        <a:off x="3916933" y="3390745"/>
                        <a:ext cx="2858135" cy="778510"/>
                      </a:xfrm>
                      <a:prstGeom prst="rect">
                        <a:avLst/>
                      </a:prstGeom>
                      <a:noFill/>
                      <a:ln>
                        <a:noFill/>
                      </a:ln>
                    </wps:spPr>
                    <wps:txbx>
                      <w:txbxContent>
                        <w:p w:rsidR="00000000" w:rsidDel="00000000" w:rsidP="00000000" w:rsidRDefault="00000000" w:rsidRPr="00000000">
                          <w:pPr>
                            <w:spacing w:after="120" w:before="20" w:line="240"/>
                            <w:ind w:left="20" w:right="0" w:firstLine="0"/>
                            <w:jc w:val="both"/>
                            <w:textDirection w:val="btLr"/>
                          </w:pPr>
                          <w:r w:rsidDel="00000000" w:rsidR="00000000" w:rsidRPr="00000000">
                            <w:rPr>
                              <w:rFonts w:ascii="Century Gothic" w:cs="Century Gothic" w:eastAsia="Century Gothic" w:hAnsi="Century Gothic"/>
                              <w:b w:val="0"/>
                              <w:i w:val="0"/>
                              <w:smallCaps w:val="0"/>
                              <w:strike w:val="0"/>
                              <w:color w:val="292425"/>
                              <w:sz w:val="24"/>
                              <w:vertAlign w:val="baseline"/>
                            </w:rPr>
                            <w:t xml:space="preserve">UNIVERZITNÁ NEMOCNICA</w:t>
                          </w:r>
                        </w:p>
                        <w:p w:rsidR="00000000" w:rsidDel="00000000" w:rsidP="00000000" w:rsidRDefault="00000000" w:rsidRPr="00000000">
                          <w:pPr>
                            <w:spacing w:after="120" w:before="0" w:line="240"/>
                            <w:ind w:left="20" w:right="0" w:firstLine="0"/>
                            <w:jc w:val="both"/>
                            <w:textDirection w:val="btLr"/>
                          </w:pPr>
                          <w:r w:rsidDel="00000000" w:rsidR="00000000" w:rsidRPr="00000000">
                            <w:rPr>
                              <w:rFonts w:ascii="Century Gothic" w:cs="Century Gothic" w:eastAsia="Century Gothic" w:hAnsi="Century Gothic"/>
                              <w:b w:val="0"/>
                              <w:i w:val="0"/>
                              <w:smallCaps w:val="0"/>
                              <w:strike w:val="0"/>
                              <w:color w:val="00000a"/>
                              <w:sz w:val="24"/>
                              <w:vertAlign w:val="baseline"/>
                            </w:rPr>
                          </w:r>
                          <w:r w:rsidDel="00000000" w:rsidR="00000000" w:rsidRPr="00000000">
                            <w:rPr>
                              <w:rFonts w:ascii="Century Gothic" w:cs="Century Gothic" w:eastAsia="Century Gothic" w:hAnsi="Century Gothic"/>
                              <w:b w:val="0"/>
                              <w:i w:val="0"/>
                              <w:smallCaps w:val="0"/>
                              <w:strike w:val="0"/>
                              <w:color w:val="292425"/>
                              <w:sz w:val="24"/>
                              <w:vertAlign w:val="baseline"/>
                            </w:rPr>
                            <w:t xml:space="preserve">BRATISLAVA</w:t>
                          </w:r>
                        </w:p>
                        <w:p w:rsidR="00000000" w:rsidDel="00000000" w:rsidP="00000000" w:rsidRDefault="00000000" w:rsidRPr="00000000">
                          <w:pPr>
                            <w:spacing w:after="120" w:before="1.0000000149011612" w:line="240"/>
                            <w:ind w:left="20" w:right="0" w:firstLine="0"/>
                            <w:jc w:val="both"/>
                            <w:textDirection w:val="btLr"/>
                          </w:pPr>
                          <w:r w:rsidDel="00000000" w:rsidR="00000000" w:rsidRPr="00000000">
                            <w:rPr>
                              <w:rFonts w:ascii="Century Gothic" w:cs="Century Gothic" w:eastAsia="Century Gothic" w:hAnsi="Century Gothic"/>
                              <w:b w:val="0"/>
                              <w:i w:val="0"/>
                              <w:smallCaps w:val="0"/>
                              <w:strike w:val="0"/>
                              <w:color w:val="00000a"/>
                              <w:sz w:val="24"/>
                              <w:vertAlign w:val="baseline"/>
                            </w:rPr>
                          </w:r>
                          <w:r w:rsidDel="00000000" w:rsidR="00000000" w:rsidRPr="00000000">
                            <w:rPr>
                              <w:rFonts w:ascii="Century Gothic" w:cs="Century Gothic" w:eastAsia="Century Gothic" w:hAnsi="Century Gothic"/>
                              <w:b w:val="0"/>
                              <w:i w:val="0"/>
                              <w:smallCaps w:val="0"/>
                              <w:strike w:val="0"/>
                              <w:color w:val="292425"/>
                              <w:sz w:val="24"/>
                              <w:vertAlign w:val="baseline"/>
                            </w:rPr>
                            <w:t xml:space="preserve">Pažítková 4, 821 01 Bratislava</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a"/>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1146493</wp:posOffset>
              </wp:positionH>
              <wp:positionV relativeFrom="page">
                <wp:posOffset>291148</wp:posOffset>
              </wp:positionV>
              <wp:extent cx="2867660" cy="78803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867660" cy="78803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a"/>
        <w:sz w:val="24"/>
        <w:szCs w:val="24"/>
        <w:u w:val="none"/>
        <w:shd w:fill="auto" w:val="clear"/>
        <w:vertAlign w:val="baseline"/>
      </w:rPr>
      <w:drawing>
        <wp:anchor allowOverlap="1" behindDoc="1" distB="0" distT="0" distL="0" distR="0" hidden="0" layoutInCell="1" locked="0" relativeHeight="0" simplePos="0">
          <wp:simplePos x="0" y="0"/>
          <wp:positionH relativeFrom="page">
            <wp:posOffset>427990</wp:posOffset>
          </wp:positionH>
          <wp:positionV relativeFrom="page">
            <wp:posOffset>179705</wp:posOffset>
          </wp:positionV>
          <wp:extent cx="589915" cy="68580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89915" cy="6858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3"/>
      <w:numFmt w:val="decimal"/>
      <w:lvlText w:val="12"/>
      <w:lvlJc w:val="left"/>
      <w:pPr>
        <w:ind w:left="864" w:hanging="707.9999999999999"/>
      </w:pPr>
      <w:rPr>
        <w:vertAlign w:val="baseline"/>
      </w:rPr>
    </w:lvl>
    <w:lvl w:ilvl="1">
      <w:start w:val="1"/>
      <w:numFmt w:val="decimal"/>
      <w:lvlText w:val="12.%2"/>
      <w:lvlJc w:val="left"/>
      <w:pPr>
        <w:ind w:left="864" w:hanging="707.9999999999999"/>
      </w:pPr>
      <w:rPr>
        <w:rFonts w:ascii="Arial" w:cs="Arial" w:eastAsia="Arial" w:hAnsi="Arial"/>
        <w:sz w:val="22"/>
        <w:szCs w:val="22"/>
        <w:vertAlign w:val="baseline"/>
      </w:rPr>
    </w:lvl>
    <w:lvl w:ilvl="2">
      <w:start w:val="0"/>
      <w:numFmt w:val="bullet"/>
      <w:lvlText w:val="•"/>
      <w:lvlJc w:val="left"/>
      <w:pPr>
        <w:ind w:left="2561" w:hanging="708"/>
      </w:pPr>
      <w:rPr>
        <w:vertAlign w:val="baseline"/>
      </w:rPr>
    </w:lvl>
    <w:lvl w:ilvl="3">
      <w:start w:val="0"/>
      <w:numFmt w:val="bullet"/>
      <w:lvlText w:val="•"/>
      <w:lvlJc w:val="left"/>
      <w:pPr>
        <w:ind w:left="3411" w:hanging="708"/>
      </w:pPr>
      <w:rPr>
        <w:vertAlign w:val="baseline"/>
      </w:rPr>
    </w:lvl>
    <w:lvl w:ilvl="4">
      <w:start w:val="0"/>
      <w:numFmt w:val="bullet"/>
      <w:lvlText w:val="•"/>
      <w:lvlJc w:val="left"/>
      <w:pPr>
        <w:ind w:left="4262" w:hanging="708"/>
      </w:pPr>
      <w:rPr>
        <w:vertAlign w:val="baseline"/>
      </w:rPr>
    </w:lvl>
    <w:lvl w:ilvl="5">
      <w:start w:val="0"/>
      <w:numFmt w:val="bullet"/>
      <w:lvlText w:val="•"/>
      <w:lvlJc w:val="left"/>
      <w:pPr>
        <w:ind w:left="5113" w:hanging="708"/>
      </w:pPr>
      <w:rPr>
        <w:vertAlign w:val="baseline"/>
      </w:rPr>
    </w:lvl>
    <w:lvl w:ilvl="6">
      <w:start w:val="0"/>
      <w:numFmt w:val="bullet"/>
      <w:lvlText w:val="•"/>
      <w:lvlJc w:val="left"/>
      <w:pPr>
        <w:ind w:left="5963" w:hanging="708"/>
      </w:pPr>
      <w:rPr>
        <w:vertAlign w:val="baseline"/>
      </w:rPr>
    </w:lvl>
    <w:lvl w:ilvl="7">
      <w:start w:val="0"/>
      <w:numFmt w:val="bullet"/>
      <w:lvlText w:val="•"/>
      <w:lvlJc w:val="left"/>
      <w:pPr>
        <w:ind w:left="6814" w:hanging="708"/>
      </w:pPr>
      <w:rPr>
        <w:vertAlign w:val="baseline"/>
      </w:rPr>
    </w:lvl>
    <w:lvl w:ilvl="8">
      <w:start w:val="0"/>
      <w:numFmt w:val="bullet"/>
      <w:lvlText w:val="•"/>
      <w:lvlJc w:val="left"/>
      <w:pPr>
        <w:ind w:left="7665" w:hanging="708"/>
      </w:pPr>
      <w:rPr>
        <w:vertAlign w:val="baseline"/>
      </w:rPr>
    </w:lvl>
  </w:abstractNum>
  <w:abstractNum w:abstractNumId="3">
    <w:lvl w:ilvl="0">
      <w:start w:val="10"/>
      <w:numFmt w:val="decimal"/>
      <w:lvlText w:val="%1"/>
      <w:lvlJc w:val="left"/>
      <w:pPr>
        <w:ind w:left="780" w:hanging="624"/>
      </w:pPr>
      <w:rPr>
        <w:vertAlign w:val="baseline"/>
      </w:rPr>
    </w:lvl>
    <w:lvl w:ilvl="1">
      <w:start w:val="1"/>
      <w:numFmt w:val="decimal"/>
      <w:lvlText w:val="%1.%2"/>
      <w:lvlJc w:val="left"/>
      <w:pPr>
        <w:ind w:left="780" w:hanging="624"/>
      </w:pPr>
      <w:rPr>
        <w:rFonts w:ascii="Arial" w:cs="Arial" w:eastAsia="Arial" w:hAnsi="Arial"/>
        <w:sz w:val="22"/>
        <w:szCs w:val="22"/>
        <w:vertAlign w:val="baseline"/>
      </w:rPr>
    </w:lvl>
    <w:lvl w:ilvl="2">
      <w:start w:val="0"/>
      <w:numFmt w:val="bullet"/>
      <w:lvlText w:val="•"/>
      <w:lvlJc w:val="left"/>
      <w:pPr>
        <w:ind w:left="2497" w:hanging="624.0000000000002"/>
      </w:pPr>
      <w:rPr>
        <w:vertAlign w:val="baseline"/>
      </w:rPr>
    </w:lvl>
    <w:lvl w:ilvl="3">
      <w:start w:val="0"/>
      <w:numFmt w:val="bullet"/>
      <w:lvlText w:val="•"/>
      <w:lvlJc w:val="left"/>
      <w:pPr>
        <w:ind w:left="3355" w:hanging="624"/>
      </w:pPr>
      <w:rPr>
        <w:vertAlign w:val="baseline"/>
      </w:rPr>
    </w:lvl>
    <w:lvl w:ilvl="4">
      <w:start w:val="0"/>
      <w:numFmt w:val="bullet"/>
      <w:lvlText w:val="•"/>
      <w:lvlJc w:val="left"/>
      <w:pPr>
        <w:ind w:left="4214" w:hanging="624"/>
      </w:pPr>
      <w:rPr>
        <w:vertAlign w:val="baseline"/>
      </w:rPr>
    </w:lvl>
    <w:lvl w:ilvl="5">
      <w:start w:val="0"/>
      <w:numFmt w:val="bullet"/>
      <w:lvlText w:val="•"/>
      <w:lvlJc w:val="left"/>
      <w:pPr>
        <w:ind w:left="5073" w:hanging="624"/>
      </w:pPr>
      <w:rPr>
        <w:vertAlign w:val="baseline"/>
      </w:rPr>
    </w:lvl>
    <w:lvl w:ilvl="6">
      <w:start w:val="0"/>
      <w:numFmt w:val="bullet"/>
      <w:lvlText w:val="•"/>
      <w:lvlJc w:val="left"/>
      <w:pPr>
        <w:ind w:left="5931" w:hanging="624"/>
      </w:pPr>
      <w:rPr>
        <w:vertAlign w:val="baseline"/>
      </w:rPr>
    </w:lvl>
    <w:lvl w:ilvl="7">
      <w:start w:val="0"/>
      <w:numFmt w:val="bullet"/>
      <w:lvlText w:val="•"/>
      <w:lvlJc w:val="left"/>
      <w:pPr>
        <w:ind w:left="6790" w:hanging="624"/>
      </w:pPr>
      <w:rPr>
        <w:vertAlign w:val="baseline"/>
      </w:rPr>
    </w:lvl>
    <w:lvl w:ilvl="8">
      <w:start w:val="0"/>
      <w:numFmt w:val="bullet"/>
      <w:lvlText w:val="•"/>
      <w:lvlJc w:val="left"/>
      <w:pPr>
        <w:ind w:left="7649" w:hanging="624"/>
      </w:pPr>
      <w:rPr>
        <w:vertAlign w:val="baseline"/>
      </w:rPr>
    </w:lvl>
  </w:abstractNum>
  <w:abstractNum w:abstractNumId="4">
    <w:lvl w:ilvl="0">
      <w:start w:val="9"/>
      <w:numFmt w:val="decimal"/>
      <w:lvlText w:val="%1"/>
      <w:lvlJc w:val="left"/>
      <w:pPr>
        <w:ind w:left="780" w:hanging="624"/>
      </w:pPr>
      <w:rPr>
        <w:vertAlign w:val="baseline"/>
      </w:rPr>
    </w:lvl>
    <w:lvl w:ilvl="1">
      <w:start w:val="1"/>
      <w:numFmt w:val="decimal"/>
      <w:lvlText w:val="%1.%2"/>
      <w:lvlJc w:val="left"/>
      <w:pPr>
        <w:ind w:left="780" w:hanging="624"/>
      </w:pPr>
      <w:rPr>
        <w:rFonts w:ascii="Arial" w:cs="Arial" w:eastAsia="Arial" w:hAnsi="Arial"/>
        <w:sz w:val="22"/>
        <w:szCs w:val="22"/>
        <w:vertAlign w:val="baseline"/>
      </w:rPr>
    </w:lvl>
    <w:lvl w:ilvl="2">
      <w:start w:val="1"/>
      <w:numFmt w:val="lowerLetter"/>
      <w:lvlText w:val="%3)"/>
      <w:lvlJc w:val="left"/>
      <w:pPr>
        <w:ind w:left="1584" w:hanging="351"/>
      </w:pPr>
      <w:rPr>
        <w:rFonts w:ascii="Arial" w:cs="Arial" w:eastAsia="Arial" w:hAnsi="Arial"/>
        <w:sz w:val="22"/>
        <w:szCs w:val="22"/>
        <w:vertAlign w:val="baseline"/>
      </w:rPr>
    </w:lvl>
    <w:lvl w:ilvl="3">
      <w:start w:val="0"/>
      <w:numFmt w:val="bullet"/>
      <w:lvlText w:val="•"/>
      <w:lvlJc w:val="left"/>
      <w:pPr>
        <w:ind w:left="3310" w:hanging="351"/>
      </w:pPr>
      <w:rPr>
        <w:vertAlign w:val="baseline"/>
      </w:rPr>
    </w:lvl>
    <w:lvl w:ilvl="4">
      <w:start w:val="0"/>
      <w:numFmt w:val="bullet"/>
      <w:lvlText w:val="•"/>
      <w:lvlJc w:val="left"/>
      <w:pPr>
        <w:ind w:left="4175" w:hanging="351"/>
      </w:pPr>
      <w:rPr>
        <w:vertAlign w:val="baseline"/>
      </w:rPr>
    </w:lvl>
    <w:lvl w:ilvl="5">
      <w:start w:val="0"/>
      <w:numFmt w:val="bullet"/>
      <w:lvlText w:val="•"/>
      <w:lvlJc w:val="left"/>
      <w:pPr>
        <w:ind w:left="5040" w:hanging="351"/>
      </w:pPr>
      <w:rPr>
        <w:vertAlign w:val="baseline"/>
      </w:rPr>
    </w:lvl>
    <w:lvl w:ilvl="6">
      <w:start w:val="0"/>
      <w:numFmt w:val="bullet"/>
      <w:lvlText w:val="•"/>
      <w:lvlJc w:val="left"/>
      <w:pPr>
        <w:ind w:left="5905" w:hanging="351"/>
      </w:pPr>
      <w:rPr>
        <w:vertAlign w:val="baseline"/>
      </w:rPr>
    </w:lvl>
    <w:lvl w:ilvl="7">
      <w:start w:val="0"/>
      <w:numFmt w:val="bullet"/>
      <w:lvlText w:val="•"/>
      <w:lvlJc w:val="left"/>
      <w:pPr>
        <w:ind w:left="6770" w:hanging="351"/>
      </w:pPr>
      <w:rPr>
        <w:vertAlign w:val="baseline"/>
      </w:rPr>
    </w:lvl>
    <w:lvl w:ilvl="8">
      <w:start w:val="0"/>
      <w:numFmt w:val="bullet"/>
      <w:lvlText w:val="•"/>
      <w:lvlJc w:val="left"/>
      <w:pPr>
        <w:ind w:left="7636" w:hanging="351"/>
      </w:pPr>
      <w:rPr>
        <w:vertAlign w:val="baseline"/>
      </w:rPr>
    </w:lvl>
  </w:abstractNum>
  <w:abstractNum w:abstractNumId="5">
    <w:lvl w:ilvl="0">
      <w:start w:val="11"/>
      <w:numFmt w:val="decimal"/>
      <w:lvlText w:val="%1"/>
      <w:lvlJc w:val="left"/>
      <w:pPr>
        <w:ind w:left="420" w:hanging="420"/>
      </w:pPr>
      <w:rPr>
        <w:vertAlign w:val="baseline"/>
      </w:rPr>
    </w:lvl>
    <w:lvl w:ilvl="1">
      <w:start w:val="1"/>
      <w:numFmt w:val="decimal"/>
      <w:lvlText w:val="%1.%2"/>
      <w:lvlJc w:val="left"/>
      <w:pPr>
        <w:ind w:left="576" w:hanging="420"/>
      </w:pPr>
      <w:rPr>
        <w:vertAlign w:val="baseline"/>
      </w:rPr>
    </w:lvl>
    <w:lvl w:ilvl="2">
      <w:start w:val="1"/>
      <w:numFmt w:val="decimal"/>
      <w:lvlText w:val="%1.%2.%3"/>
      <w:lvlJc w:val="left"/>
      <w:pPr>
        <w:ind w:left="1032" w:hanging="720"/>
      </w:pPr>
      <w:rPr>
        <w:vertAlign w:val="baseline"/>
      </w:rPr>
    </w:lvl>
    <w:lvl w:ilvl="3">
      <w:start w:val="1"/>
      <w:numFmt w:val="decimal"/>
      <w:lvlText w:val="%1.%2.%3.%4"/>
      <w:lvlJc w:val="left"/>
      <w:pPr>
        <w:ind w:left="118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860" w:hanging="1080"/>
      </w:pPr>
      <w:rPr>
        <w:vertAlign w:val="baseline"/>
      </w:rPr>
    </w:lvl>
    <w:lvl w:ilvl="6">
      <w:start w:val="1"/>
      <w:numFmt w:val="decimal"/>
      <w:lvlText w:val="%1.%2.%3.%4.%5.%6.%7"/>
      <w:lvlJc w:val="left"/>
      <w:pPr>
        <w:ind w:left="2376" w:hanging="1440"/>
      </w:pPr>
      <w:rPr>
        <w:vertAlign w:val="baseline"/>
      </w:rPr>
    </w:lvl>
    <w:lvl w:ilvl="7">
      <w:start w:val="1"/>
      <w:numFmt w:val="decimal"/>
      <w:lvlText w:val="%1.%2.%3.%4.%5.%6.%7.%8"/>
      <w:lvlJc w:val="left"/>
      <w:pPr>
        <w:ind w:left="2532" w:hanging="1440"/>
      </w:pPr>
      <w:rPr>
        <w:vertAlign w:val="baseline"/>
      </w:rPr>
    </w:lvl>
    <w:lvl w:ilvl="8">
      <w:start w:val="1"/>
      <w:numFmt w:val="decimal"/>
      <w:lvlText w:val="%1.%2.%3.%4.%5.%6.%7.%8.%9"/>
      <w:lvlJc w:val="left"/>
      <w:pPr>
        <w:ind w:left="3048" w:hanging="1800"/>
      </w:pPr>
      <w:rPr>
        <w:vertAlign w:val="baseline"/>
      </w:rPr>
    </w:lvl>
  </w:abstractNum>
  <w:abstractNum w:abstractNumId="6">
    <w:lvl w:ilvl="0">
      <w:start w:val="8"/>
      <w:numFmt w:val="decimal"/>
      <w:lvlText w:val="%1"/>
      <w:lvlJc w:val="left"/>
      <w:pPr>
        <w:ind w:left="780" w:hanging="624"/>
      </w:pPr>
      <w:rPr>
        <w:vertAlign w:val="baseline"/>
      </w:rPr>
    </w:lvl>
    <w:lvl w:ilvl="1">
      <w:start w:val="1"/>
      <w:numFmt w:val="decimal"/>
      <w:lvlText w:val="%1.%2"/>
      <w:lvlJc w:val="left"/>
      <w:pPr>
        <w:ind w:left="780" w:hanging="624"/>
      </w:pPr>
      <w:rPr>
        <w:rFonts w:ascii="Arial" w:cs="Arial" w:eastAsia="Arial" w:hAnsi="Arial"/>
        <w:sz w:val="22"/>
        <w:szCs w:val="22"/>
        <w:vertAlign w:val="baseline"/>
      </w:rPr>
    </w:lvl>
    <w:lvl w:ilvl="2">
      <w:start w:val="0"/>
      <w:numFmt w:val="bullet"/>
      <w:lvlText w:val="•"/>
      <w:lvlJc w:val="left"/>
      <w:pPr>
        <w:ind w:left="2497" w:hanging="624.0000000000002"/>
      </w:pPr>
      <w:rPr>
        <w:vertAlign w:val="baseline"/>
      </w:rPr>
    </w:lvl>
    <w:lvl w:ilvl="3">
      <w:start w:val="0"/>
      <w:numFmt w:val="bullet"/>
      <w:lvlText w:val="•"/>
      <w:lvlJc w:val="left"/>
      <w:pPr>
        <w:ind w:left="3355" w:hanging="624"/>
      </w:pPr>
      <w:rPr>
        <w:vertAlign w:val="baseline"/>
      </w:rPr>
    </w:lvl>
    <w:lvl w:ilvl="4">
      <w:start w:val="0"/>
      <w:numFmt w:val="bullet"/>
      <w:lvlText w:val="•"/>
      <w:lvlJc w:val="left"/>
      <w:pPr>
        <w:ind w:left="4214" w:hanging="624"/>
      </w:pPr>
      <w:rPr>
        <w:vertAlign w:val="baseline"/>
      </w:rPr>
    </w:lvl>
    <w:lvl w:ilvl="5">
      <w:start w:val="0"/>
      <w:numFmt w:val="bullet"/>
      <w:lvlText w:val="•"/>
      <w:lvlJc w:val="left"/>
      <w:pPr>
        <w:ind w:left="5073" w:hanging="624"/>
      </w:pPr>
      <w:rPr>
        <w:vertAlign w:val="baseline"/>
      </w:rPr>
    </w:lvl>
    <w:lvl w:ilvl="6">
      <w:start w:val="0"/>
      <w:numFmt w:val="bullet"/>
      <w:lvlText w:val="•"/>
      <w:lvlJc w:val="left"/>
      <w:pPr>
        <w:ind w:left="5931" w:hanging="624"/>
      </w:pPr>
      <w:rPr>
        <w:vertAlign w:val="baseline"/>
      </w:rPr>
    </w:lvl>
    <w:lvl w:ilvl="7">
      <w:start w:val="0"/>
      <w:numFmt w:val="bullet"/>
      <w:lvlText w:val="•"/>
      <w:lvlJc w:val="left"/>
      <w:pPr>
        <w:ind w:left="6790" w:hanging="624"/>
      </w:pPr>
      <w:rPr>
        <w:vertAlign w:val="baseline"/>
      </w:rPr>
    </w:lvl>
    <w:lvl w:ilvl="8">
      <w:start w:val="0"/>
      <w:numFmt w:val="bullet"/>
      <w:lvlText w:val="•"/>
      <w:lvlJc w:val="left"/>
      <w:pPr>
        <w:ind w:left="7649" w:hanging="624"/>
      </w:pPr>
      <w:rPr>
        <w:vertAlign w:val="baseline"/>
      </w:rPr>
    </w:lvl>
  </w:abstractNum>
  <w:abstractNum w:abstractNumId="7">
    <w:lvl w:ilvl="0">
      <w:start w:val="9"/>
      <w:numFmt w:val="decimal"/>
      <w:lvlText w:val="%1"/>
      <w:lvlJc w:val="left"/>
      <w:pPr>
        <w:ind w:left="360" w:hanging="360"/>
      </w:pPr>
      <w:rPr>
        <w:vertAlign w:val="baseline"/>
      </w:rPr>
    </w:lvl>
    <w:lvl w:ilvl="1">
      <w:start w:val="8"/>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lvl w:ilvl="0">
      <w:start w:val="12"/>
      <w:numFmt w:val="decimal"/>
      <w:lvlText w:val="%1"/>
      <w:lvlJc w:val="left"/>
      <w:pPr>
        <w:ind w:left="864" w:hanging="707.9999999999999"/>
      </w:pPr>
      <w:rPr>
        <w:vertAlign w:val="baseline"/>
      </w:rPr>
    </w:lvl>
    <w:lvl w:ilvl="1">
      <w:start w:val="1"/>
      <w:numFmt w:val="decimal"/>
      <w:lvlText w:val="%1.%2"/>
      <w:lvlJc w:val="left"/>
      <w:pPr>
        <w:ind w:left="864" w:hanging="707.9999999999999"/>
      </w:pPr>
      <w:rPr>
        <w:rFonts w:ascii="Arial" w:cs="Arial" w:eastAsia="Arial" w:hAnsi="Arial"/>
        <w:sz w:val="22"/>
        <w:szCs w:val="22"/>
        <w:vertAlign w:val="baseline"/>
      </w:rPr>
    </w:lvl>
    <w:lvl w:ilvl="2">
      <w:start w:val="1"/>
      <w:numFmt w:val="lowerLetter"/>
      <w:lvlText w:val="%3)"/>
      <w:lvlJc w:val="left"/>
      <w:pPr>
        <w:ind w:left="1596" w:hanging="360"/>
      </w:pPr>
      <w:rPr>
        <w:rFonts w:ascii="Arial" w:cs="Arial" w:eastAsia="Arial" w:hAnsi="Arial"/>
        <w:sz w:val="22"/>
        <w:szCs w:val="22"/>
        <w:vertAlign w:val="baseline"/>
      </w:rPr>
    </w:lvl>
    <w:lvl w:ilvl="3">
      <w:start w:val="0"/>
      <w:numFmt w:val="bullet"/>
      <w:lvlText w:val="•"/>
      <w:lvlJc w:val="left"/>
      <w:pPr>
        <w:ind w:left="3325" w:hanging="360"/>
      </w:pPr>
      <w:rPr>
        <w:vertAlign w:val="baseline"/>
      </w:rPr>
    </w:lvl>
    <w:lvl w:ilvl="4">
      <w:start w:val="0"/>
      <w:numFmt w:val="bullet"/>
      <w:lvlText w:val="•"/>
      <w:lvlJc w:val="left"/>
      <w:pPr>
        <w:ind w:left="4188" w:hanging="360"/>
      </w:pPr>
      <w:rPr>
        <w:vertAlign w:val="baseline"/>
      </w:rPr>
    </w:lvl>
    <w:lvl w:ilvl="5">
      <w:start w:val="0"/>
      <w:numFmt w:val="bullet"/>
      <w:lvlText w:val="•"/>
      <w:lvlJc w:val="left"/>
      <w:pPr>
        <w:ind w:left="5051" w:hanging="360"/>
      </w:pPr>
      <w:rPr>
        <w:vertAlign w:val="baseline"/>
      </w:rPr>
    </w:lvl>
    <w:lvl w:ilvl="6">
      <w:start w:val="0"/>
      <w:numFmt w:val="bullet"/>
      <w:lvlText w:val="•"/>
      <w:lvlJc w:val="left"/>
      <w:pPr>
        <w:ind w:left="5914" w:hanging="360"/>
      </w:pPr>
      <w:rPr>
        <w:vertAlign w:val="baseline"/>
      </w:rPr>
    </w:lvl>
    <w:lvl w:ilvl="7">
      <w:start w:val="0"/>
      <w:numFmt w:val="bullet"/>
      <w:lvlText w:val="•"/>
      <w:lvlJc w:val="left"/>
      <w:pPr>
        <w:ind w:left="6777" w:hanging="360"/>
      </w:pPr>
      <w:rPr>
        <w:vertAlign w:val="baseline"/>
      </w:rPr>
    </w:lvl>
    <w:lvl w:ilvl="8">
      <w:start w:val="0"/>
      <w:numFmt w:val="bullet"/>
      <w:lvlText w:val="•"/>
      <w:lvlJc w:val="left"/>
      <w:pPr>
        <w:ind w:left="7640" w:hanging="360"/>
      </w:pPr>
      <w:rPr>
        <w:vertAlign w:val="baseline"/>
      </w:rPr>
    </w:lvl>
  </w:abstractNum>
  <w:abstractNum w:abstractNumId="9">
    <w:lvl w:ilvl="0">
      <w:start w:val="7"/>
      <w:numFmt w:val="decimal"/>
      <w:lvlText w:val="%1"/>
      <w:lvlJc w:val="left"/>
      <w:pPr>
        <w:ind w:left="780" w:hanging="624"/>
      </w:pPr>
      <w:rPr>
        <w:vertAlign w:val="baseline"/>
      </w:rPr>
    </w:lvl>
    <w:lvl w:ilvl="1">
      <w:start w:val="1"/>
      <w:numFmt w:val="decimal"/>
      <w:lvlText w:val="%1.%2"/>
      <w:lvlJc w:val="left"/>
      <w:pPr>
        <w:ind w:left="780" w:hanging="624"/>
      </w:pPr>
      <w:rPr>
        <w:rFonts w:ascii="Arial" w:cs="Arial" w:eastAsia="Arial" w:hAnsi="Arial"/>
        <w:sz w:val="22"/>
        <w:szCs w:val="22"/>
        <w:vertAlign w:val="baseline"/>
      </w:rPr>
    </w:lvl>
    <w:lvl w:ilvl="2">
      <w:start w:val="0"/>
      <w:numFmt w:val="bullet"/>
      <w:lvlText w:val="•"/>
      <w:lvlJc w:val="left"/>
      <w:pPr>
        <w:ind w:left="2497" w:hanging="624.0000000000002"/>
      </w:pPr>
      <w:rPr>
        <w:vertAlign w:val="baseline"/>
      </w:rPr>
    </w:lvl>
    <w:lvl w:ilvl="3">
      <w:start w:val="0"/>
      <w:numFmt w:val="bullet"/>
      <w:lvlText w:val="•"/>
      <w:lvlJc w:val="left"/>
      <w:pPr>
        <w:ind w:left="3355" w:hanging="624"/>
      </w:pPr>
      <w:rPr>
        <w:vertAlign w:val="baseline"/>
      </w:rPr>
    </w:lvl>
    <w:lvl w:ilvl="4">
      <w:start w:val="0"/>
      <w:numFmt w:val="bullet"/>
      <w:lvlText w:val="•"/>
      <w:lvlJc w:val="left"/>
      <w:pPr>
        <w:ind w:left="4214" w:hanging="624"/>
      </w:pPr>
      <w:rPr>
        <w:vertAlign w:val="baseline"/>
      </w:rPr>
    </w:lvl>
    <w:lvl w:ilvl="5">
      <w:start w:val="0"/>
      <w:numFmt w:val="bullet"/>
      <w:lvlText w:val="•"/>
      <w:lvlJc w:val="left"/>
      <w:pPr>
        <w:ind w:left="5073" w:hanging="624"/>
      </w:pPr>
      <w:rPr>
        <w:vertAlign w:val="baseline"/>
      </w:rPr>
    </w:lvl>
    <w:lvl w:ilvl="6">
      <w:start w:val="0"/>
      <w:numFmt w:val="bullet"/>
      <w:lvlText w:val="•"/>
      <w:lvlJc w:val="left"/>
      <w:pPr>
        <w:ind w:left="5931" w:hanging="624"/>
      </w:pPr>
      <w:rPr>
        <w:vertAlign w:val="baseline"/>
      </w:rPr>
    </w:lvl>
    <w:lvl w:ilvl="7">
      <w:start w:val="0"/>
      <w:numFmt w:val="bullet"/>
      <w:lvlText w:val="•"/>
      <w:lvlJc w:val="left"/>
      <w:pPr>
        <w:ind w:left="6790" w:hanging="624"/>
      </w:pPr>
      <w:rPr>
        <w:vertAlign w:val="baseline"/>
      </w:rPr>
    </w:lvl>
    <w:lvl w:ilvl="8">
      <w:start w:val="0"/>
      <w:numFmt w:val="bullet"/>
      <w:lvlText w:val="•"/>
      <w:lvlJc w:val="left"/>
      <w:pPr>
        <w:ind w:left="7649" w:hanging="624"/>
      </w:pPr>
      <w:rPr>
        <w:vertAlign w:val="baseline"/>
      </w:rPr>
    </w:lvl>
  </w:abstractNum>
  <w:abstractNum w:abstractNumId="10">
    <w:lvl w:ilvl="0">
      <w:start w:val="6"/>
      <w:numFmt w:val="decimal"/>
      <w:lvlText w:val="%1"/>
      <w:lvlJc w:val="left"/>
      <w:pPr>
        <w:ind w:left="780" w:hanging="624"/>
      </w:pPr>
      <w:rPr>
        <w:vertAlign w:val="baseline"/>
      </w:rPr>
    </w:lvl>
    <w:lvl w:ilvl="1">
      <w:start w:val="1"/>
      <w:numFmt w:val="decimal"/>
      <w:lvlText w:val="%1.%2"/>
      <w:lvlJc w:val="left"/>
      <w:pPr>
        <w:ind w:left="780" w:hanging="624"/>
      </w:pPr>
      <w:rPr>
        <w:rFonts w:ascii="Arial" w:cs="Arial" w:eastAsia="Arial" w:hAnsi="Arial"/>
        <w:sz w:val="22"/>
        <w:szCs w:val="22"/>
        <w:vertAlign w:val="baseline"/>
      </w:rPr>
    </w:lvl>
    <w:lvl w:ilvl="2">
      <w:start w:val="1"/>
      <w:numFmt w:val="lowerLetter"/>
      <w:lvlText w:val="%3)"/>
      <w:lvlJc w:val="left"/>
      <w:pPr>
        <w:ind w:left="1416" w:hanging="360"/>
      </w:pPr>
      <w:rPr>
        <w:rFonts w:ascii="Arial" w:cs="Arial" w:eastAsia="Arial" w:hAnsi="Arial"/>
        <w:sz w:val="22"/>
        <w:szCs w:val="22"/>
        <w:vertAlign w:val="baseline"/>
      </w:rPr>
    </w:lvl>
    <w:lvl w:ilvl="3">
      <w:start w:val="0"/>
      <w:numFmt w:val="bullet"/>
      <w:lvlText w:val="•"/>
      <w:lvlJc w:val="left"/>
      <w:pPr>
        <w:ind w:left="3185" w:hanging="360"/>
      </w:pPr>
      <w:rPr>
        <w:vertAlign w:val="baseline"/>
      </w:rPr>
    </w:lvl>
    <w:lvl w:ilvl="4">
      <w:start w:val="0"/>
      <w:numFmt w:val="bullet"/>
      <w:lvlText w:val="•"/>
      <w:lvlJc w:val="left"/>
      <w:pPr>
        <w:ind w:left="4068" w:hanging="360"/>
      </w:pPr>
      <w:rPr>
        <w:vertAlign w:val="baseline"/>
      </w:rPr>
    </w:lvl>
    <w:lvl w:ilvl="5">
      <w:start w:val="0"/>
      <w:numFmt w:val="bullet"/>
      <w:lvlText w:val="•"/>
      <w:lvlJc w:val="left"/>
      <w:pPr>
        <w:ind w:left="4951" w:hanging="360"/>
      </w:pPr>
      <w:rPr>
        <w:vertAlign w:val="baseline"/>
      </w:rPr>
    </w:lvl>
    <w:lvl w:ilvl="6">
      <w:start w:val="0"/>
      <w:numFmt w:val="bullet"/>
      <w:lvlText w:val="•"/>
      <w:lvlJc w:val="left"/>
      <w:pPr>
        <w:ind w:left="5834" w:hanging="360"/>
      </w:pPr>
      <w:rPr>
        <w:vertAlign w:val="baseline"/>
      </w:rPr>
    </w:lvl>
    <w:lvl w:ilvl="7">
      <w:start w:val="0"/>
      <w:numFmt w:val="bullet"/>
      <w:lvlText w:val="•"/>
      <w:lvlJc w:val="left"/>
      <w:pPr>
        <w:ind w:left="6717" w:hanging="360"/>
      </w:pPr>
      <w:rPr>
        <w:vertAlign w:val="baseline"/>
      </w:rPr>
    </w:lvl>
    <w:lvl w:ilvl="8">
      <w:start w:val="0"/>
      <w:numFmt w:val="bullet"/>
      <w:lvlText w:val="•"/>
      <w:lvlJc w:val="left"/>
      <w:pPr>
        <w:ind w:left="7600" w:hanging="360"/>
      </w:pPr>
      <w:rPr>
        <w:vertAlign w:val="baseline"/>
      </w:rPr>
    </w:lvl>
  </w:abstractNum>
  <w:abstractNum w:abstractNumId="1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5"/>
      <w:numFmt w:val="decimal"/>
      <w:lvlText w:val="%1"/>
      <w:lvlJc w:val="left"/>
      <w:pPr>
        <w:ind w:left="780" w:hanging="624"/>
      </w:pPr>
      <w:rPr>
        <w:vertAlign w:val="baseline"/>
      </w:rPr>
    </w:lvl>
    <w:lvl w:ilvl="1">
      <w:start w:val="1"/>
      <w:numFmt w:val="decimal"/>
      <w:lvlText w:val="%1.%2"/>
      <w:lvlJc w:val="left"/>
      <w:pPr>
        <w:ind w:left="780" w:hanging="624"/>
      </w:pPr>
      <w:rPr>
        <w:rFonts w:ascii="Arial" w:cs="Arial" w:eastAsia="Arial" w:hAnsi="Arial"/>
        <w:sz w:val="22"/>
        <w:szCs w:val="22"/>
        <w:vertAlign w:val="baseline"/>
      </w:rPr>
    </w:lvl>
    <w:lvl w:ilvl="2">
      <w:start w:val="0"/>
      <w:numFmt w:val="bullet"/>
      <w:lvlText w:val="•"/>
      <w:lvlJc w:val="left"/>
      <w:pPr>
        <w:ind w:left="2497" w:hanging="624.0000000000002"/>
      </w:pPr>
      <w:rPr>
        <w:vertAlign w:val="baseline"/>
      </w:rPr>
    </w:lvl>
    <w:lvl w:ilvl="3">
      <w:start w:val="0"/>
      <w:numFmt w:val="bullet"/>
      <w:lvlText w:val="•"/>
      <w:lvlJc w:val="left"/>
      <w:pPr>
        <w:ind w:left="3355" w:hanging="624"/>
      </w:pPr>
      <w:rPr>
        <w:vertAlign w:val="baseline"/>
      </w:rPr>
    </w:lvl>
    <w:lvl w:ilvl="4">
      <w:start w:val="0"/>
      <w:numFmt w:val="bullet"/>
      <w:lvlText w:val="•"/>
      <w:lvlJc w:val="left"/>
      <w:pPr>
        <w:ind w:left="4214" w:hanging="624"/>
      </w:pPr>
      <w:rPr>
        <w:vertAlign w:val="baseline"/>
      </w:rPr>
    </w:lvl>
    <w:lvl w:ilvl="5">
      <w:start w:val="0"/>
      <w:numFmt w:val="bullet"/>
      <w:lvlText w:val="•"/>
      <w:lvlJc w:val="left"/>
      <w:pPr>
        <w:ind w:left="5073" w:hanging="624"/>
      </w:pPr>
      <w:rPr>
        <w:vertAlign w:val="baseline"/>
      </w:rPr>
    </w:lvl>
    <w:lvl w:ilvl="6">
      <w:start w:val="0"/>
      <w:numFmt w:val="bullet"/>
      <w:lvlText w:val="•"/>
      <w:lvlJc w:val="left"/>
      <w:pPr>
        <w:ind w:left="5931" w:hanging="624"/>
      </w:pPr>
      <w:rPr>
        <w:vertAlign w:val="baseline"/>
      </w:rPr>
    </w:lvl>
    <w:lvl w:ilvl="7">
      <w:start w:val="0"/>
      <w:numFmt w:val="bullet"/>
      <w:lvlText w:val="•"/>
      <w:lvlJc w:val="left"/>
      <w:pPr>
        <w:ind w:left="6790" w:hanging="624"/>
      </w:pPr>
      <w:rPr>
        <w:vertAlign w:val="baseline"/>
      </w:rPr>
    </w:lvl>
    <w:lvl w:ilvl="8">
      <w:start w:val="0"/>
      <w:numFmt w:val="bullet"/>
      <w:lvlText w:val="•"/>
      <w:lvlJc w:val="left"/>
      <w:pPr>
        <w:ind w:left="7649" w:hanging="624"/>
      </w:pPr>
      <w:rPr>
        <w:vertAlign w:val="baseline"/>
      </w:rPr>
    </w:lvl>
  </w:abstractNum>
  <w:abstractNum w:abstractNumId="13">
    <w:lvl w:ilvl="0">
      <w:start w:val="4"/>
      <w:numFmt w:val="decimal"/>
      <w:lvlText w:val="%1"/>
      <w:lvlJc w:val="left"/>
      <w:pPr>
        <w:ind w:left="780" w:hanging="624"/>
      </w:pPr>
      <w:rPr>
        <w:vertAlign w:val="baseline"/>
      </w:rPr>
    </w:lvl>
    <w:lvl w:ilvl="1">
      <w:start w:val="1"/>
      <w:numFmt w:val="decimal"/>
      <w:lvlText w:val="%1.%2"/>
      <w:lvlJc w:val="left"/>
      <w:pPr>
        <w:ind w:left="780" w:hanging="624"/>
      </w:pPr>
      <w:rPr>
        <w:rFonts w:ascii="Arial" w:cs="Arial" w:eastAsia="Arial" w:hAnsi="Arial"/>
        <w:sz w:val="22"/>
        <w:szCs w:val="22"/>
        <w:vertAlign w:val="baseline"/>
      </w:rPr>
    </w:lvl>
    <w:lvl w:ilvl="2">
      <w:start w:val="1"/>
      <w:numFmt w:val="lowerLetter"/>
      <w:lvlText w:val="%3."/>
      <w:lvlJc w:val="left"/>
      <w:pPr>
        <w:ind w:left="1596" w:hanging="360"/>
      </w:pPr>
      <w:rPr>
        <w:rFonts w:ascii="Arial" w:cs="Arial" w:eastAsia="Arial" w:hAnsi="Arial"/>
        <w:sz w:val="24"/>
        <w:szCs w:val="24"/>
        <w:vertAlign w:val="baseline"/>
      </w:rPr>
    </w:lvl>
    <w:lvl w:ilvl="3">
      <w:start w:val="0"/>
      <w:numFmt w:val="bullet"/>
      <w:lvlText w:val="•"/>
      <w:lvlJc w:val="left"/>
      <w:pPr>
        <w:ind w:left="3325" w:hanging="360"/>
      </w:pPr>
      <w:rPr>
        <w:vertAlign w:val="baseline"/>
      </w:rPr>
    </w:lvl>
    <w:lvl w:ilvl="4">
      <w:start w:val="0"/>
      <w:numFmt w:val="bullet"/>
      <w:lvlText w:val="•"/>
      <w:lvlJc w:val="left"/>
      <w:pPr>
        <w:ind w:left="4188" w:hanging="360"/>
      </w:pPr>
      <w:rPr>
        <w:vertAlign w:val="baseline"/>
      </w:rPr>
    </w:lvl>
    <w:lvl w:ilvl="5">
      <w:start w:val="0"/>
      <w:numFmt w:val="bullet"/>
      <w:lvlText w:val="•"/>
      <w:lvlJc w:val="left"/>
      <w:pPr>
        <w:ind w:left="5051" w:hanging="360"/>
      </w:pPr>
      <w:rPr>
        <w:vertAlign w:val="baseline"/>
      </w:rPr>
    </w:lvl>
    <w:lvl w:ilvl="6">
      <w:start w:val="0"/>
      <w:numFmt w:val="bullet"/>
      <w:lvlText w:val="•"/>
      <w:lvlJc w:val="left"/>
      <w:pPr>
        <w:ind w:left="5914" w:hanging="360"/>
      </w:pPr>
      <w:rPr>
        <w:vertAlign w:val="baseline"/>
      </w:rPr>
    </w:lvl>
    <w:lvl w:ilvl="7">
      <w:start w:val="0"/>
      <w:numFmt w:val="bullet"/>
      <w:lvlText w:val="•"/>
      <w:lvlJc w:val="left"/>
      <w:pPr>
        <w:ind w:left="6777" w:hanging="360"/>
      </w:pPr>
      <w:rPr>
        <w:vertAlign w:val="baseline"/>
      </w:rPr>
    </w:lvl>
    <w:lvl w:ilvl="8">
      <w:start w:val="0"/>
      <w:numFmt w:val="bullet"/>
      <w:lvlText w:val="•"/>
      <w:lvlJc w:val="left"/>
      <w:pPr>
        <w:ind w:left="7640" w:hanging="360"/>
      </w:pPr>
      <w:rPr>
        <w:vertAlign w:val="baseline"/>
      </w:rPr>
    </w:lvl>
  </w:abstractNum>
  <w:abstractNum w:abstractNumId="14">
    <w:lvl w:ilvl="0">
      <w:start w:val="3"/>
      <w:numFmt w:val="decimal"/>
      <w:lvlText w:val="%1"/>
      <w:lvlJc w:val="left"/>
      <w:pPr>
        <w:ind w:left="780" w:hanging="624"/>
      </w:pPr>
      <w:rPr>
        <w:vertAlign w:val="baseline"/>
      </w:rPr>
    </w:lvl>
    <w:lvl w:ilvl="1">
      <w:start w:val="1"/>
      <w:numFmt w:val="decimal"/>
      <w:lvlText w:val="%1.%2"/>
      <w:lvlJc w:val="left"/>
      <w:pPr>
        <w:ind w:left="780" w:hanging="624"/>
      </w:pPr>
      <w:rPr>
        <w:rFonts w:ascii="Arial" w:cs="Arial" w:eastAsia="Arial" w:hAnsi="Arial"/>
        <w:sz w:val="22"/>
        <w:szCs w:val="22"/>
        <w:vertAlign w:val="baseline"/>
      </w:rPr>
    </w:lvl>
    <w:lvl w:ilvl="2">
      <w:start w:val="0"/>
      <w:numFmt w:val="bullet"/>
      <w:lvlText w:val="•"/>
      <w:lvlJc w:val="left"/>
      <w:pPr>
        <w:ind w:left="2497" w:hanging="624.0000000000002"/>
      </w:pPr>
      <w:rPr>
        <w:vertAlign w:val="baseline"/>
      </w:rPr>
    </w:lvl>
    <w:lvl w:ilvl="3">
      <w:start w:val="0"/>
      <w:numFmt w:val="bullet"/>
      <w:lvlText w:val="•"/>
      <w:lvlJc w:val="left"/>
      <w:pPr>
        <w:ind w:left="3355" w:hanging="624"/>
      </w:pPr>
      <w:rPr>
        <w:vertAlign w:val="baseline"/>
      </w:rPr>
    </w:lvl>
    <w:lvl w:ilvl="4">
      <w:start w:val="0"/>
      <w:numFmt w:val="bullet"/>
      <w:lvlText w:val="•"/>
      <w:lvlJc w:val="left"/>
      <w:pPr>
        <w:ind w:left="4214" w:hanging="624"/>
      </w:pPr>
      <w:rPr>
        <w:vertAlign w:val="baseline"/>
      </w:rPr>
    </w:lvl>
    <w:lvl w:ilvl="5">
      <w:start w:val="0"/>
      <w:numFmt w:val="bullet"/>
      <w:lvlText w:val="•"/>
      <w:lvlJc w:val="left"/>
      <w:pPr>
        <w:ind w:left="5073" w:hanging="624"/>
      </w:pPr>
      <w:rPr>
        <w:vertAlign w:val="baseline"/>
      </w:rPr>
    </w:lvl>
    <w:lvl w:ilvl="6">
      <w:start w:val="0"/>
      <w:numFmt w:val="bullet"/>
      <w:lvlText w:val="•"/>
      <w:lvlJc w:val="left"/>
      <w:pPr>
        <w:ind w:left="5931" w:hanging="624"/>
      </w:pPr>
      <w:rPr>
        <w:vertAlign w:val="baseline"/>
      </w:rPr>
    </w:lvl>
    <w:lvl w:ilvl="7">
      <w:start w:val="0"/>
      <w:numFmt w:val="bullet"/>
      <w:lvlText w:val="•"/>
      <w:lvlJc w:val="left"/>
      <w:pPr>
        <w:ind w:left="6790" w:hanging="624"/>
      </w:pPr>
      <w:rPr>
        <w:vertAlign w:val="baseline"/>
      </w:rPr>
    </w:lvl>
    <w:lvl w:ilvl="8">
      <w:start w:val="0"/>
      <w:numFmt w:val="bullet"/>
      <w:lvlText w:val="•"/>
      <w:lvlJc w:val="left"/>
      <w:pPr>
        <w:ind w:left="7649" w:hanging="624"/>
      </w:pPr>
      <w:rPr>
        <w:vertAlign w:val="baseline"/>
      </w:rPr>
    </w:lvl>
  </w:abstractNum>
  <w:abstractNum w:abstractNumId="15">
    <w:lvl w:ilvl="0">
      <w:start w:val="2"/>
      <w:numFmt w:val="decimal"/>
      <w:lvlText w:val="%1"/>
      <w:lvlJc w:val="left"/>
      <w:pPr>
        <w:ind w:left="864" w:hanging="627"/>
      </w:pPr>
      <w:rPr>
        <w:vertAlign w:val="baseline"/>
      </w:rPr>
    </w:lvl>
    <w:lvl w:ilvl="1">
      <w:start w:val="1"/>
      <w:numFmt w:val="decimal"/>
      <w:lvlText w:val="%1.%2"/>
      <w:lvlJc w:val="left"/>
      <w:pPr>
        <w:ind w:left="864" w:hanging="627"/>
      </w:pPr>
      <w:rPr>
        <w:rFonts w:ascii="Arial" w:cs="Arial" w:eastAsia="Arial" w:hAnsi="Arial"/>
        <w:sz w:val="22"/>
        <w:szCs w:val="22"/>
        <w:vertAlign w:val="baseline"/>
      </w:rPr>
    </w:lvl>
    <w:lvl w:ilvl="2">
      <w:start w:val="1"/>
      <w:numFmt w:val="lowerLetter"/>
      <w:lvlText w:val="%3)"/>
      <w:lvlJc w:val="left"/>
      <w:pPr>
        <w:ind w:left="1596" w:hanging="879.0000000000001"/>
      </w:pPr>
      <w:rPr>
        <w:rFonts w:ascii="Arial" w:cs="Arial" w:eastAsia="Arial" w:hAnsi="Arial"/>
        <w:sz w:val="22"/>
        <w:szCs w:val="22"/>
        <w:vertAlign w:val="baseline"/>
      </w:rPr>
    </w:lvl>
    <w:lvl w:ilvl="3">
      <w:start w:val="0"/>
      <w:numFmt w:val="bullet"/>
      <w:lvlText w:val="•"/>
      <w:lvlJc w:val="left"/>
      <w:pPr>
        <w:ind w:left="3325" w:hanging="879"/>
      </w:pPr>
      <w:rPr>
        <w:vertAlign w:val="baseline"/>
      </w:rPr>
    </w:lvl>
    <w:lvl w:ilvl="4">
      <w:start w:val="0"/>
      <w:numFmt w:val="bullet"/>
      <w:lvlText w:val="•"/>
      <w:lvlJc w:val="left"/>
      <w:pPr>
        <w:ind w:left="4188" w:hanging="879"/>
      </w:pPr>
      <w:rPr>
        <w:vertAlign w:val="baseline"/>
      </w:rPr>
    </w:lvl>
    <w:lvl w:ilvl="5">
      <w:start w:val="0"/>
      <w:numFmt w:val="bullet"/>
      <w:lvlText w:val="•"/>
      <w:lvlJc w:val="left"/>
      <w:pPr>
        <w:ind w:left="5051" w:hanging="879"/>
      </w:pPr>
      <w:rPr>
        <w:vertAlign w:val="baseline"/>
      </w:rPr>
    </w:lvl>
    <w:lvl w:ilvl="6">
      <w:start w:val="0"/>
      <w:numFmt w:val="bullet"/>
      <w:lvlText w:val="•"/>
      <w:lvlJc w:val="left"/>
      <w:pPr>
        <w:ind w:left="5914" w:hanging="879"/>
      </w:pPr>
      <w:rPr>
        <w:vertAlign w:val="baseline"/>
      </w:rPr>
    </w:lvl>
    <w:lvl w:ilvl="7">
      <w:start w:val="0"/>
      <w:numFmt w:val="bullet"/>
      <w:lvlText w:val="•"/>
      <w:lvlJc w:val="left"/>
      <w:pPr>
        <w:ind w:left="6777" w:hanging="878.9999999999991"/>
      </w:pPr>
      <w:rPr>
        <w:vertAlign w:val="baseline"/>
      </w:rPr>
    </w:lvl>
    <w:lvl w:ilvl="8">
      <w:start w:val="0"/>
      <w:numFmt w:val="bullet"/>
      <w:lvlText w:val="•"/>
      <w:lvlJc w:val="left"/>
      <w:pPr>
        <w:ind w:left="7640" w:hanging="879"/>
      </w:pPr>
      <w:rPr>
        <w:vertAlign w:val="baseline"/>
      </w:rPr>
    </w:lvl>
  </w:abstractNum>
  <w:abstractNum w:abstractNumId="16">
    <w:lvl w:ilvl="0">
      <w:start w:val="1"/>
      <w:numFmt w:val="decimal"/>
      <w:lvlText w:val="%1"/>
      <w:lvlJc w:val="left"/>
      <w:pPr>
        <w:ind w:left="727" w:hanging="572"/>
      </w:pPr>
      <w:rPr>
        <w:vertAlign w:val="baseline"/>
      </w:rPr>
    </w:lvl>
    <w:lvl w:ilvl="1">
      <w:start w:val="1"/>
      <w:numFmt w:val="decimal"/>
      <w:lvlText w:val="%1.%2"/>
      <w:lvlJc w:val="left"/>
      <w:pPr>
        <w:ind w:left="727" w:hanging="572"/>
      </w:pPr>
      <w:rPr>
        <w:rFonts w:ascii="Arial" w:cs="Arial" w:eastAsia="Arial" w:hAnsi="Arial"/>
        <w:b w:val="0"/>
        <w:i w:val="0"/>
        <w:sz w:val="22"/>
        <w:szCs w:val="22"/>
        <w:vertAlign w:val="baseline"/>
      </w:rPr>
    </w:lvl>
    <w:lvl w:ilvl="2">
      <w:start w:val="1"/>
      <w:numFmt w:val="lowerLetter"/>
      <w:lvlText w:val="%3)"/>
      <w:lvlJc w:val="left"/>
      <w:pPr>
        <w:ind w:left="3728" w:hanging="246"/>
      </w:pPr>
      <w:rPr>
        <w:rFonts w:ascii="Arial" w:cs="Arial" w:eastAsia="Arial" w:hAnsi="Arial"/>
        <w:sz w:val="22"/>
        <w:szCs w:val="22"/>
        <w:vertAlign w:val="baseline"/>
      </w:rPr>
    </w:lvl>
    <w:lvl w:ilvl="3">
      <w:start w:val="0"/>
      <w:numFmt w:val="bullet"/>
      <w:lvlText w:val="•"/>
      <w:lvlJc w:val="left"/>
      <w:pPr>
        <w:ind w:left="4974" w:hanging="246"/>
      </w:pPr>
      <w:rPr>
        <w:vertAlign w:val="baseline"/>
      </w:rPr>
    </w:lvl>
    <w:lvl w:ilvl="4">
      <w:start w:val="0"/>
      <w:numFmt w:val="bullet"/>
      <w:lvlText w:val="•"/>
      <w:lvlJc w:val="left"/>
      <w:pPr>
        <w:ind w:left="5602" w:hanging="246"/>
      </w:pPr>
      <w:rPr>
        <w:vertAlign w:val="baseline"/>
      </w:rPr>
    </w:lvl>
    <w:lvl w:ilvl="5">
      <w:start w:val="0"/>
      <w:numFmt w:val="bullet"/>
      <w:lvlText w:val="•"/>
      <w:lvlJc w:val="left"/>
      <w:pPr>
        <w:ind w:left="6229" w:hanging="246"/>
      </w:pPr>
      <w:rPr>
        <w:vertAlign w:val="baseline"/>
      </w:rPr>
    </w:lvl>
    <w:lvl w:ilvl="6">
      <w:start w:val="0"/>
      <w:numFmt w:val="bullet"/>
      <w:lvlText w:val="•"/>
      <w:lvlJc w:val="left"/>
      <w:pPr>
        <w:ind w:left="6856" w:hanging="246"/>
      </w:pPr>
      <w:rPr>
        <w:vertAlign w:val="baseline"/>
      </w:rPr>
    </w:lvl>
    <w:lvl w:ilvl="7">
      <w:start w:val="0"/>
      <w:numFmt w:val="bullet"/>
      <w:lvlText w:val="•"/>
      <w:lvlJc w:val="left"/>
      <w:pPr>
        <w:ind w:left="7484" w:hanging="246"/>
      </w:pPr>
      <w:rPr>
        <w:vertAlign w:val="baseline"/>
      </w:rPr>
    </w:lvl>
    <w:lvl w:ilvl="8">
      <w:start w:val="0"/>
      <w:numFmt w:val="bullet"/>
      <w:lvlText w:val="•"/>
      <w:lvlJc w:val="left"/>
      <w:pPr>
        <w:ind w:left="8111" w:hanging="246"/>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ální">
    <w:name w:val="Normální"/>
    <w:next w:val="Normální"/>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sk-SK"/>
    </w:rPr>
  </w:style>
  <w:style w:type="paragraph" w:styleId="Nadpis2">
    <w:name w:val="Nadpis 2"/>
    <w:basedOn w:val="Normální"/>
    <w:next w:val="Normální"/>
    <w:autoRedefine w:val="0"/>
    <w:hidden w:val="0"/>
    <w:qFormat w:val="0"/>
    <w:pPr>
      <w:keepNext w:val="1"/>
      <w:suppressAutoHyphens w:val="1"/>
      <w:spacing w:after="0" w:line="240" w:lineRule="auto"/>
      <w:ind w:leftChars="-1" w:rightChars="0" w:firstLineChars="-1"/>
      <w:jc w:val="center"/>
      <w:textDirection w:val="btLr"/>
      <w:textAlignment w:val="top"/>
      <w:outlineLvl w:val="1"/>
    </w:pPr>
    <w:rPr>
      <w:rFonts w:ascii="Arial" w:cs="Times New Roman" w:eastAsia="Times New Roman" w:hAnsi="Arial"/>
      <w:b w:val="1"/>
      <w:bCs w:val="1"/>
      <w:iCs w:val="1"/>
      <w:w w:val="100"/>
      <w:position w:val="-1"/>
      <w:sz w:val="24"/>
      <w:szCs w:val="28"/>
      <w:effect w:val="none"/>
      <w:vertAlign w:val="baseline"/>
      <w:cs w:val="0"/>
      <w:em w:val="none"/>
      <w:lang w:bidi="ar-SA" w:eastAsia="sk-SK" w:val="sk-SK"/>
    </w:rPr>
  </w:style>
  <w:style w:type="paragraph" w:styleId="Nadpis4">
    <w:name w:val="Nadpis 4"/>
    <w:basedOn w:val="Normální"/>
    <w:next w:val="Normální"/>
    <w:autoRedefine w:val="0"/>
    <w:hidden w:val="0"/>
    <w:qFormat w:val="1"/>
    <w:pPr>
      <w:keepNext w:val="1"/>
      <w:keepLines w:val="1"/>
      <w:suppressAutoHyphens w:val="1"/>
      <w:spacing w:after="0" w:before="40" w:line="259" w:lineRule="auto"/>
      <w:ind w:leftChars="-1" w:rightChars="0" w:firstLineChars="-1"/>
      <w:textDirection w:val="btLr"/>
      <w:textAlignment w:val="top"/>
      <w:outlineLvl w:val="3"/>
    </w:pPr>
    <w:rPr>
      <w:rFonts w:ascii="Calibri Light" w:cs="Times New Roman" w:eastAsia="Times New Roman" w:hAnsi="Calibri Light"/>
      <w:i w:val="1"/>
      <w:iCs w:val="1"/>
      <w:color w:val="2f5496"/>
      <w:w w:val="100"/>
      <w:position w:val="-1"/>
      <w:sz w:val="22"/>
      <w:szCs w:val="22"/>
      <w:effect w:val="none"/>
      <w:vertAlign w:val="baseline"/>
      <w:cs w:val="0"/>
      <w:em w:val="none"/>
      <w:lang w:bidi="ar-SA" w:eastAsia="en-US" w:val="sk-SK"/>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Internetovýodkaz">
    <w:name w:val="Internetový odkaz"/>
    <w:next w:val="Internetovýodkaz"/>
    <w:autoRedefine w:val="0"/>
    <w:hidden w:val="0"/>
    <w:qFormat w:val="0"/>
    <w:rPr>
      <w:color w:val="0563c1"/>
      <w:w w:val="100"/>
      <w:position w:val="-1"/>
      <w:u w:val="single"/>
      <w:effect w:val="none"/>
      <w:vertAlign w:val="baseline"/>
      <w:cs w:val="0"/>
      <w:em w:val="none"/>
      <w:lang/>
    </w:rPr>
  </w:style>
  <w:style w:type="character" w:styleId="ZákladnítextodsazenýChar">
    <w:name w:val="Základní text odsazený Char"/>
    <w:next w:val="ZákladnítextodsazenýChar"/>
    <w:autoRedefine w:val="0"/>
    <w:hidden w:val="0"/>
    <w:qFormat w:val="0"/>
    <w:rPr>
      <w:rFonts w:ascii="Arial" w:cs="Times New Roman" w:eastAsia="Times New Roman" w:hAnsi="Arial"/>
      <w:color w:val="00000a"/>
      <w:w w:val="100"/>
      <w:kern w:val="2"/>
      <w:position w:val="-1"/>
      <w:szCs w:val="20"/>
      <w:effect w:val="none"/>
      <w:vertAlign w:val="baseline"/>
      <w:cs w:val="0"/>
      <w:em w:val="none"/>
      <w:lang w:eastAsia="cs-CZ"/>
    </w:rPr>
  </w:style>
  <w:style w:type="character" w:styleId="Základnítext2Char">
    <w:name w:val="Základní text 2 Char"/>
    <w:next w:val="Základnítext2Char"/>
    <w:autoRedefine w:val="0"/>
    <w:hidden w:val="0"/>
    <w:qFormat w:val="0"/>
    <w:rPr>
      <w:rFonts w:ascii="Arial" w:cs="Times New Roman" w:eastAsia="Times New Roman" w:hAnsi="Arial"/>
      <w:color w:val="00000a"/>
      <w:w w:val="100"/>
      <w:kern w:val="2"/>
      <w:position w:val="-1"/>
      <w:effect w:val="none"/>
      <w:vertAlign w:val="baseline"/>
      <w:cs w:val="0"/>
      <w:em w:val="none"/>
      <w:lang w:eastAsia="cs-CZ"/>
    </w:rPr>
  </w:style>
  <w:style w:type="paragraph" w:styleId="Základnítext">
    <w:name w:val="Základní text"/>
    <w:basedOn w:val="Normální"/>
    <w:next w:val="Základnítext"/>
    <w:autoRedefine w:val="0"/>
    <w:hidden w:val="0"/>
    <w:qFormat w:val="1"/>
    <w:pPr>
      <w:suppressAutoHyphens w:val="0"/>
      <w:spacing w:after="120" w:line="240" w:lineRule="auto"/>
      <w:ind w:leftChars="-1" w:rightChars="0" w:firstLineChars="-1"/>
      <w:jc w:val="both"/>
      <w:textDirection w:val="btLr"/>
      <w:textAlignment w:val="top"/>
      <w:outlineLvl w:val="0"/>
    </w:pPr>
    <w:rPr>
      <w:rFonts w:ascii="Arial" w:cs="Times New Roman" w:eastAsia="Times New Roman" w:hAnsi="Arial"/>
      <w:color w:val="00000a"/>
      <w:w w:val="100"/>
      <w:kern w:val="2"/>
      <w:position w:val="-1"/>
      <w:sz w:val="24"/>
      <w:szCs w:val="24"/>
      <w:effect w:val="none"/>
      <w:vertAlign w:val="baseline"/>
      <w:cs w:val="0"/>
      <w:em w:val="none"/>
      <w:lang w:bidi="ar-SA" w:eastAsia="cs-CZ" w:val="sk-SK"/>
    </w:rPr>
  </w:style>
  <w:style w:type="character" w:styleId="ZákladnítextChar">
    <w:name w:val="Základní text Char"/>
    <w:next w:val="ZákladnítextChar"/>
    <w:autoRedefine w:val="0"/>
    <w:hidden w:val="0"/>
    <w:qFormat w:val="0"/>
    <w:rPr>
      <w:rFonts w:ascii="Arial" w:cs="Times New Roman" w:eastAsia="Times New Roman" w:hAnsi="Arial"/>
      <w:color w:val="00000a"/>
      <w:w w:val="100"/>
      <w:kern w:val="2"/>
      <w:position w:val="-1"/>
      <w:effect w:val="none"/>
      <w:vertAlign w:val="baseline"/>
      <w:cs w:val="0"/>
      <w:em w:val="none"/>
      <w:lang w:eastAsia="cs-CZ"/>
    </w:rPr>
  </w:style>
  <w:style w:type="paragraph" w:styleId="Seznam">
    <w:name w:val="Seznam"/>
    <w:basedOn w:val="Normální"/>
    <w:next w:val="Seznam"/>
    <w:autoRedefine w:val="0"/>
    <w:hidden w:val="0"/>
    <w:qFormat w:val="1"/>
    <w:pPr>
      <w:suppressAutoHyphens w:val="0"/>
      <w:spacing w:after="0" w:line="240" w:lineRule="auto"/>
      <w:ind w:left="283" w:leftChars="-1" w:rightChars="0" w:hanging="283" w:firstLineChars="-1"/>
      <w:textDirection w:val="btLr"/>
      <w:textAlignment w:val="top"/>
      <w:outlineLvl w:val="0"/>
    </w:pPr>
    <w:rPr>
      <w:rFonts w:ascii="Times New Roman" w:cs="Mangal" w:eastAsia="Times New Roman" w:hAnsi="Times New Roman"/>
      <w:color w:val="00000a"/>
      <w:w w:val="100"/>
      <w:kern w:val="2"/>
      <w:position w:val="-1"/>
      <w:sz w:val="24"/>
      <w:szCs w:val="24"/>
      <w:effect w:val="none"/>
      <w:vertAlign w:val="baseline"/>
      <w:cs w:val="0"/>
      <w:em w:val="none"/>
      <w:lang w:bidi="ar-SA" w:eastAsia="sk-SK" w:val="sk-SK"/>
    </w:rPr>
  </w:style>
  <w:style w:type="paragraph" w:styleId="Odstavecseseznamem,BulletNumber,lp1,lp11,ListParagraph11,Bullet1,UseCaseListParagraph,4.1Odrážky,body">
    <w:name w:val="Odstavec se seznamem,Bullet Number,lp1,lp11,List Paragraph11,Bullet 1,Use Case List Paragraph,4.1 Odrážky,body"/>
    <w:basedOn w:val="Normální"/>
    <w:next w:val="Odstavecseseznamem,BulletNumber,lp1,lp11,ListParagraph11,Bullet1,UseCaseListParagraph,4.1Odrážky,body"/>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und" w:val="und"/>
    </w:rPr>
  </w:style>
  <w:style w:type="paragraph" w:styleId="western">
    <w:name w:val="western"/>
    <w:basedOn w:val="Normální"/>
    <w:next w:val="western"/>
    <w:autoRedefine w:val="0"/>
    <w:hidden w:val="0"/>
    <w:qFormat w:val="0"/>
    <w:pPr>
      <w:suppressAutoHyphens w:val="1"/>
      <w:spacing w:after="0" w:beforeAutospacing="1" w:line="240" w:lineRule="auto"/>
      <w:ind w:leftChars="-1" w:rightChars="0" w:firstLineChars="-1"/>
      <w:jc w:val="both"/>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sk-SK" w:val="sk-SK"/>
    </w:rPr>
  </w:style>
  <w:style w:type="paragraph" w:styleId="Základnítextodsazený">
    <w:name w:val="Základní text odsazený"/>
    <w:basedOn w:val="Normální"/>
    <w:next w:val="Základnítextodsazený"/>
    <w:autoRedefine w:val="0"/>
    <w:hidden w:val="0"/>
    <w:qFormat w:val="1"/>
    <w:pPr>
      <w:suppressAutoHyphens w:val="0"/>
      <w:spacing w:after="120" w:line="240" w:lineRule="auto"/>
      <w:ind w:left="283" w:leftChars="-1" w:rightChars="0" w:firstLineChars="-1"/>
      <w:textDirection w:val="btLr"/>
      <w:textAlignment w:val="top"/>
      <w:outlineLvl w:val="0"/>
    </w:pPr>
    <w:rPr>
      <w:rFonts w:ascii="Arial" w:cs="Times New Roman" w:eastAsia="Times New Roman" w:hAnsi="Arial"/>
      <w:color w:val="00000a"/>
      <w:w w:val="100"/>
      <w:kern w:val="2"/>
      <w:position w:val="-1"/>
      <w:sz w:val="24"/>
      <w:szCs w:val="20"/>
      <w:effect w:val="none"/>
      <w:vertAlign w:val="baseline"/>
      <w:cs w:val="0"/>
      <w:em w:val="none"/>
      <w:lang w:bidi="ar-SA" w:eastAsia="cs-CZ" w:val="sk-SK"/>
    </w:rPr>
  </w:style>
  <w:style w:type="character" w:styleId="ZarážkazákladnéhotextuChar1">
    <w:name w:val="Zarážka základného textu Char1"/>
    <w:next w:val="ZarážkazákladnéhotextuChar1"/>
    <w:autoRedefine w:val="0"/>
    <w:hidden w:val="0"/>
    <w:qFormat w:val="0"/>
    <w:rPr>
      <w:w w:val="100"/>
      <w:position w:val="-1"/>
      <w:sz w:val="22"/>
      <w:szCs w:val="22"/>
      <w:effect w:val="none"/>
      <w:vertAlign w:val="baseline"/>
      <w:cs w:val="0"/>
      <w:em w:val="none"/>
      <w:lang/>
    </w:rPr>
  </w:style>
  <w:style w:type="paragraph" w:styleId="Základnítext2">
    <w:name w:val="Základní text 2"/>
    <w:basedOn w:val="Normální"/>
    <w:next w:val="Základnítext2"/>
    <w:autoRedefine w:val="0"/>
    <w:hidden w:val="0"/>
    <w:qFormat w:val="1"/>
    <w:pPr>
      <w:suppressAutoHyphens w:val="0"/>
      <w:spacing w:after="0" w:line="240" w:lineRule="auto"/>
      <w:ind w:leftChars="-1" w:rightChars="0" w:firstLineChars="-1"/>
      <w:jc w:val="both"/>
      <w:textDirection w:val="btLr"/>
      <w:textAlignment w:val="top"/>
      <w:outlineLvl w:val="0"/>
    </w:pPr>
    <w:rPr>
      <w:rFonts w:ascii="Arial" w:cs="Times New Roman" w:eastAsia="Times New Roman" w:hAnsi="Arial"/>
      <w:color w:val="00000a"/>
      <w:w w:val="100"/>
      <w:kern w:val="2"/>
      <w:position w:val="-1"/>
      <w:sz w:val="24"/>
      <w:szCs w:val="24"/>
      <w:effect w:val="none"/>
      <w:vertAlign w:val="baseline"/>
      <w:cs w:val="0"/>
      <w:em w:val="none"/>
      <w:lang w:bidi="ar-SA" w:eastAsia="cs-CZ" w:val="sk-SK"/>
    </w:rPr>
  </w:style>
  <w:style w:type="character" w:styleId="Základnýtext2Char1">
    <w:name w:val="Základný text 2 Char1"/>
    <w:next w:val="Základnýtext2Char1"/>
    <w:autoRedefine w:val="0"/>
    <w:hidden w:val="0"/>
    <w:qFormat w:val="0"/>
    <w:rPr>
      <w:w w:val="100"/>
      <w:position w:val="-1"/>
      <w:sz w:val="22"/>
      <w:szCs w:val="22"/>
      <w:effect w:val="none"/>
      <w:vertAlign w:val="baseline"/>
      <w:cs w:val="0"/>
      <w:em w:val="none"/>
      <w:lang/>
    </w:rPr>
  </w:style>
  <w:style w:type="paragraph" w:styleId="Bezmezer">
    <w:name w:val="Bez mezer"/>
    <w:next w:val="Bezmezer"/>
    <w:autoRedefine w:val="0"/>
    <w:hidden w:val="0"/>
    <w:qFormat w:val="0"/>
    <w:pPr>
      <w:suppressAutoHyphens w:val="0"/>
      <w:spacing w:line="1" w:lineRule="atLeast"/>
      <w:ind w:leftChars="-1" w:rightChars="0" w:firstLineChars="-1"/>
      <w:textDirection w:val="btLr"/>
      <w:textAlignment w:val="top"/>
      <w:outlineLvl w:val="0"/>
    </w:pPr>
    <w:rPr>
      <w:color w:val="00000a"/>
      <w:w w:val="100"/>
      <w:kern w:val="2"/>
      <w:position w:val="-1"/>
      <w:sz w:val="24"/>
      <w:szCs w:val="22"/>
      <w:effect w:val="none"/>
      <w:vertAlign w:val="baseline"/>
      <w:cs w:val="0"/>
      <w:em w:val="none"/>
      <w:lang w:bidi="ar-SA" w:eastAsia="en-US" w:val="sk-SK"/>
    </w:rPr>
  </w:style>
  <w:style w:type="character" w:styleId="Nadpis2Char">
    <w:name w:val="Nadpis 2 Char"/>
    <w:next w:val="Nadpis2Char"/>
    <w:autoRedefine w:val="0"/>
    <w:hidden w:val="0"/>
    <w:qFormat w:val="0"/>
    <w:rPr>
      <w:rFonts w:ascii="Arial" w:cs="Times New Roman" w:eastAsia="Times New Roman" w:hAnsi="Arial"/>
      <w:b w:val="1"/>
      <w:bCs w:val="1"/>
      <w:iCs w:val="1"/>
      <w:w w:val="100"/>
      <w:position w:val="-1"/>
      <w:szCs w:val="28"/>
      <w:effect w:val="none"/>
      <w:vertAlign w:val="baseline"/>
      <w:cs w:val="0"/>
      <w:em w:val="none"/>
      <w:lang w:eastAsia="sk-SK"/>
    </w:rPr>
  </w:style>
  <w:style w:type="paragraph" w:styleId="Záhlaví,1,-Manuals,hdr">
    <w:name w:val="Záhlaví, 1,-Manuals,hdr"/>
    <w:basedOn w:val="Normální"/>
    <w:next w:val="Záhlaví,1,-Manuals,hdr"/>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eastAsia="Times New Roman" w:hAnsi="Arial"/>
      <w:w w:val="100"/>
      <w:position w:val="-1"/>
      <w:sz w:val="20"/>
      <w:szCs w:val="24"/>
      <w:effect w:val="none"/>
      <w:vertAlign w:val="baseline"/>
      <w:cs w:val="0"/>
      <w:em w:val="none"/>
      <w:lang w:bidi="ar-SA" w:eastAsia="sk-SK" w:val="sk-SK"/>
    </w:rPr>
  </w:style>
  <w:style w:type="character" w:styleId="ZáhlavíChar,1Char,-ManualsChar,hdrChar">
    <w:name w:val="Záhlaví Char, 1 Char,-Manuals Char,hdr Char"/>
    <w:next w:val="ZáhlavíChar,1Char,-ManualsChar,hdrChar"/>
    <w:autoRedefine w:val="0"/>
    <w:hidden w:val="0"/>
    <w:qFormat w:val="0"/>
    <w:rPr>
      <w:rFonts w:ascii="Arial" w:cs="Times New Roman" w:eastAsia="Times New Roman" w:hAnsi="Arial"/>
      <w:w w:val="100"/>
      <w:position w:val="-1"/>
      <w:sz w:val="20"/>
      <w:effect w:val="none"/>
      <w:vertAlign w:val="baseline"/>
      <w:cs w:val="0"/>
      <w:em w:val="none"/>
      <w:lang w:eastAsia="sk-SK"/>
    </w:rPr>
  </w:style>
  <w:style w:type="paragraph" w:styleId="Zápatí">
    <w:name w:val="Zápatí"/>
    <w:basedOn w:val="Normální"/>
    <w:next w:val="Zápatí"/>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eastAsia="Times New Roman" w:hAnsi="Arial"/>
      <w:w w:val="100"/>
      <w:position w:val="-1"/>
      <w:sz w:val="20"/>
      <w:szCs w:val="24"/>
      <w:effect w:val="none"/>
      <w:vertAlign w:val="baseline"/>
      <w:cs w:val="0"/>
      <w:em w:val="none"/>
      <w:lang w:bidi="ar-SA" w:eastAsia="sk-SK" w:val="sk-SK"/>
    </w:rPr>
  </w:style>
  <w:style w:type="character" w:styleId="ZápatíChar">
    <w:name w:val="Zápatí Char"/>
    <w:next w:val="ZápatíChar"/>
    <w:autoRedefine w:val="0"/>
    <w:hidden w:val="0"/>
    <w:qFormat w:val="0"/>
    <w:rPr>
      <w:rFonts w:ascii="Arial" w:cs="Times New Roman" w:eastAsia="Times New Roman" w:hAnsi="Arial"/>
      <w:w w:val="100"/>
      <w:position w:val="-1"/>
      <w:sz w:val="20"/>
      <w:effect w:val="none"/>
      <w:vertAlign w:val="baseline"/>
      <w:cs w:val="0"/>
      <w:em w:val="none"/>
      <w:lang w:eastAsia="sk-SK"/>
    </w:rPr>
  </w:style>
  <w:style w:type="character" w:styleId="Základnýtext(2)">
    <w:name w:val="Základný text (2)"/>
    <w:next w:val="Základnýtext(2)"/>
    <w:autoRedefine w:val="0"/>
    <w:hidden w:val="0"/>
    <w:qFormat w:val="0"/>
    <w:rPr>
      <w:rFonts w:ascii="Arial" w:cs="Arial" w:hAnsi="Arial"/>
      <w:w w:val="100"/>
      <w:position w:val="-1"/>
      <w:sz w:val="19"/>
      <w:szCs w:val="19"/>
      <w:u w:val="none"/>
      <w:effect w:val="none"/>
      <w:vertAlign w:val="baseline"/>
      <w:cs w:val="0"/>
      <w:em w:val="none"/>
      <w:lang/>
    </w:rPr>
  </w:style>
  <w:style w:type="character" w:styleId="Základnýtext(2)_">
    <w:name w:val="Základný text (2)_"/>
    <w:next w:val="Základnýtext(2)_"/>
    <w:autoRedefine w:val="0"/>
    <w:hidden w:val="0"/>
    <w:qFormat w:val="0"/>
    <w:rPr>
      <w:w w:val="100"/>
      <w:position w:val="-1"/>
      <w:sz w:val="19"/>
      <w:szCs w:val="19"/>
      <w:effect w:val="none"/>
      <w:shd w:color="auto" w:fill="ffffff" w:val="clear"/>
      <w:vertAlign w:val="baseline"/>
      <w:cs w:val="0"/>
      <w:em w:val="none"/>
      <w:lang/>
    </w:rPr>
  </w:style>
  <w:style w:type="paragraph" w:styleId="Základnýtext(2)1">
    <w:name w:val="Základný text (2)1"/>
    <w:basedOn w:val="Normální"/>
    <w:next w:val="Základnýtext(2)1"/>
    <w:autoRedefine w:val="0"/>
    <w:hidden w:val="0"/>
    <w:qFormat w:val="0"/>
    <w:pPr>
      <w:widowControl w:val="0"/>
      <w:shd w:color="auto" w:fill="ffffff" w:val="clear"/>
      <w:suppressAutoHyphens w:val="1"/>
      <w:spacing w:after="0" w:line="257" w:lineRule="atLeast"/>
      <w:ind w:leftChars="-1" w:rightChars="0" w:hanging="500" w:firstLineChars="-1"/>
      <w:textDirection w:val="btLr"/>
      <w:textAlignment w:val="top"/>
      <w:outlineLvl w:val="0"/>
    </w:pPr>
    <w:rPr>
      <w:w w:val="100"/>
      <w:position w:val="-1"/>
      <w:sz w:val="19"/>
      <w:szCs w:val="19"/>
      <w:effect w:val="none"/>
      <w:vertAlign w:val="baseline"/>
      <w:cs w:val="0"/>
      <w:em w:val="none"/>
      <w:lang w:bidi="ar-SA" w:eastAsia="en-US" w:val="sk-SK"/>
    </w:rPr>
  </w:style>
  <w:style w:type="character" w:styleId="OdstavecseseznamemChar,BulletNumberChar,lp1Char,lp11Char,ListParagraph11Char,Bullet1Char,UseCaseListParagraphChar,4.1OdrážkyChar,bodyChar">
    <w:name w:val="Odstavec se seznamem Char,Bullet Number Char,lp1 Char,lp11 Char,List Paragraph11 Char,Bullet 1 Char,Use Case List Paragraph Char,4.1 Odrážky Char,body Char"/>
    <w:next w:val="OdstavecseseznamemChar,BulletNumberChar,lp1Char,lp11Char,ListParagraph11Char,Bullet1Char,UseCaseListParagraphChar,4.1OdrážkyChar,bodyChar"/>
    <w:autoRedefine w:val="0"/>
    <w:hidden w:val="0"/>
    <w:qFormat w:val="0"/>
    <w:rPr>
      <w:w w:val="100"/>
      <w:position w:val="-1"/>
      <w:sz w:val="22"/>
      <w:szCs w:val="22"/>
      <w:effect w:val="none"/>
      <w:vertAlign w:val="baseline"/>
      <w:cs w:val="0"/>
      <w:em w:val="none"/>
      <w:lang/>
    </w:rPr>
  </w:style>
  <w:style w:type="paragraph" w:styleId="Textpozn.podčarou,Textpoznámkypodčiarou007,_Poznámkapodčiarou">
    <w:name w:val="Text pozn. pod čarou,Text poznámky pod čiarou 007,_Poznámka pod čiarou"/>
    <w:basedOn w:val="Normální"/>
    <w:next w:val="Textpozn.podčarou,Textpoznámkypodčiarou007,_Poznámkapodčiarou"/>
    <w:autoRedefine w:val="0"/>
    <w:hidden w:val="0"/>
    <w:qFormat w:val="0"/>
    <w:pPr>
      <w:suppressAutoHyphens w:val="1"/>
      <w:spacing w:after="0" w:line="240" w:lineRule="auto"/>
      <w:ind w:leftChars="-1" w:rightChars="0" w:firstLineChars="-1"/>
      <w:textDirection w:val="btLr"/>
      <w:textAlignment w:val="top"/>
      <w:outlineLvl w:val="0"/>
    </w:pPr>
    <w:rPr>
      <w:rFonts w:ascii="Arial" w:cs="Times New Roman" w:eastAsia="Times New Roman" w:hAnsi="Arial"/>
      <w:w w:val="100"/>
      <w:position w:val="-1"/>
      <w:sz w:val="20"/>
      <w:szCs w:val="20"/>
      <w:effect w:val="none"/>
      <w:vertAlign w:val="baseline"/>
      <w:cs w:val="0"/>
      <w:em w:val="none"/>
      <w:lang w:bidi="ar-SA" w:eastAsia="cs-CZ" w:val="sk-SK"/>
    </w:rPr>
  </w:style>
  <w:style w:type="character" w:styleId="Textpozn.podčarouChar,Textpoznámkypodčiarou007Char,_PoznámkapodčiarouChar">
    <w:name w:val="Text pozn. pod čarou Char,Text poznámky pod čiarou 007 Char,_Poznámka pod čiarou Char"/>
    <w:next w:val="Textpozn.podčarouChar,Textpoznámkypodčiarou007Char,_PoznámkapodčiarouChar"/>
    <w:autoRedefine w:val="0"/>
    <w:hidden w:val="0"/>
    <w:qFormat w:val="0"/>
    <w:rPr>
      <w:rFonts w:ascii="Arial" w:cs="Times New Roman" w:eastAsia="Times New Roman" w:hAnsi="Arial"/>
      <w:w w:val="100"/>
      <w:position w:val="-1"/>
      <w:sz w:val="20"/>
      <w:szCs w:val="20"/>
      <w:effect w:val="none"/>
      <w:vertAlign w:val="baseline"/>
      <w:cs w:val="0"/>
      <w:em w:val="none"/>
      <w:lang w:eastAsia="cs-CZ"/>
    </w:rPr>
  </w:style>
  <w:style w:type="character" w:styleId="Značkapozn.podčarou">
    <w:name w:val="Značka pozn. pod čarou"/>
    <w:next w:val="Značkapozn.podčarou"/>
    <w:autoRedefine w:val="0"/>
    <w:hidden w:val="0"/>
    <w:qFormat w:val="0"/>
    <w:rPr>
      <w:w w:val="100"/>
      <w:position w:val="-1"/>
      <w:effect w:val="none"/>
      <w:vertAlign w:val="superscript"/>
      <w:cs w:val="0"/>
      <w:em w:val="none"/>
      <w:lang/>
    </w:rPr>
  </w:style>
  <w:style w:type="paragraph" w:styleId="SP_Nadpis4">
    <w:name w:val="SP_Nadpis4"/>
    <w:basedOn w:val="SP_Nadpis3"/>
    <w:next w:val="SP_Nadpis4"/>
    <w:autoRedefine w:val="0"/>
    <w:hidden w:val="0"/>
    <w:qFormat w:val="0"/>
    <w:pPr>
      <w:widowControl w:val="0"/>
      <w:numPr>
        <w:ilvl w:val="1"/>
        <w:numId w:val="2"/>
      </w:numPr>
      <w:suppressAutoHyphens w:val="1"/>
      <w:spacing w:after="0" w:before="120" w:line="240" w:lineRule="auto"/>
      <w:ind w:leftChars="-1" w:rightChars="0" w:firstLineChars="-1"/>
      <w:jc w:val="both"/>
      <w:textDirection w:val="btLr"/>
      <w:textAlignment w:val="top"/>
      <w:outlineLvl w:val="0"/>
    </w:pPr>
    <w:rPr>
      <w:rFonts w:ascii="Arial" w:cs="Calibri" w:eastAsia="Times New Roman" w:hAnsi="Arial"/>
      <w:b w:val="0"/>
      <w:bCs w:val="1"/>
      <w:w w:val="100"/>
      <w:position w:val="-1"/>
      <w:sz w:val="20"/>
      <w:szCs w:val="20"/>
      <w:effect w:val="none"/>
      <w:vertAlign w:val="baseline"/>
      <w:cs w:val="0"/>
      <w:em w:val="none"/>
      <w:lang w:bidi="ar-SA" w:eastAsia="cs-CZ" w:val="sk-SK"/>
    </w:rPr>
  </w:style>
  <w:style w:type="paragraph" w:styleId="SP_Nadpis3">
    <w:name w:val="SP_Nadpis3"/>
    <w:basedOn w:val="Normální"/>
    <w:next w:val="SP_Nadpis3"/>
    <w:autoRedefine w:val="0"/>
    <w:hidden w:val="0"/>
    <w:qFormat w:val="0"/>
    <w:pPr>
      <w:widowControl w:val="0"/>
      <w:numPr>
        <w:ilvl w:val="0"/>
        <w:numId w:val="2"/>
      </w:numPr>
      <w:suppressAutoHyphens w:val="1"/>
      <w:spacing w:after="0" w:before="240" w:line="240" w:lineRule="auto"/>
      <w:ind w:leftChars="-1" w:rightChars="0" w:firstLineChars="-1"/>
      <w:jc w:val="both"/>
      <w:textDirection w:val="btLr"/>
      <w:textAlignment w:val="top"/>
      <w:outlineLvl w:val="0"/>
    </w:pPr>
    <w:rPr>
      <w:rFonts w:ascii="Arial" w:cs="Arial" w:eastAsia="Times New Roman" w:hAnsi="Arial"/>
      <w:b w:val="1"/>
      <w:w w:val="100"/>
      <w:position w:val="-1"/>
      <w:sz w:val="20"/>
      <w:szCs w:val="20"/>
      <w:effect w:val="none"/>
      <w:vertAlign w:val="baseline"/>
      <w:cs w:val="0"/>
      <w:em w:val="none"/>
      <w:lang w:bidi="ar-SA" w:eastAsia="cs-CZ" w:val="sk-SK"/>
    </w:rPr>
  </w:style>
  <w:style w:type="paragraph" w:styleId="wazza_03">
    <w:name w:val="wazza_03"/>
    <w:basedOn w:val="Normální"/>
    <w:next w:val="wazza_03"/>
    <w:autoRedefine w:val="0"/>
    <w:hidden w:val="0"/>
    <w:qFormat w:val="0"/>
    <w:pPr>
      <w:suppressAutoHyphens w:val="1"/>
      <w:spacing w:after="0" w:before="120" w:line="240" w:lineRule="auto"/>
      <w:ind w:leftChars="-1" w:rightChars="0" w:firstLineChars="-1"/>
      <w:jc w:val="center"/>
      <w:textDirection w:val="btLr"/>
      <w:textAlignment w:val="top"/>
      <w:outlineLvl w:val="0"/>
    </w:pPr>
    <w:rPr>
      <w:rFonts w:ascii="Arial" w:cs="Arial" w:eastAsia="Times New Roman" w:hAnsi="Arial"/>
      <w:b w:val="1"/>
      <w:bCs w:val="1"/>
      <w:caps w:val="1"/>
      <w:color w:val="808080"/>
      <w:w w:val="100"/>
      <w:position w:val="-1"/>
      <w:sz w:val="22"/>
      <w:szCs w:val="24"/>
      <w:effect w:val="none"/>
      <w:vertAlign w:val="baseline"/>
      <w:cs w:val="0"/>
      <w:em w:val="none"/>
      <w:lang w:bidi="ar-SA" w:eastAsia="cs-CZ" w:val="sk-SK"/>
    </w:rPr>
  </w:style>
  <w:style w:type="paragraph" w:styleId="Textbubliny">
    <w:name w:val="Text bubliny"/>
    <w:basedOn w:val="Normální"/>
    <w:next w:val="Textbubliny"/>
    <w:autoRedefine w:val="0"/>
    <w:hidden w:val="0"/>
    <w:qFormat w:val="1"/>
    <w:pPr>
      <w:suppressAutoHyphens w:val="1"/>
      <w:spacing w:after="0" w:line="240" w:lineRule="auto"/>
      <w:ind w:leftChars="-1" w:rightChars="0" w:firstLineChars="-1"/>
      <w:jc w:val="both"/>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sk-SK" w:val="sk-SK"/>
    </w:rPr>
  </w:style>
  <w:style w:type="character" w:styleId="TextbublinyChar">
    <w:name w:val="Text bubliny Char"/>
    <w:next w:val="TextbublinyChar"/>
    <w:autoRedefine w:val="0"/>
    <w:hidden w:val="0"/>
    <w:qFormat w:val="0"/>
    <w:rPr>
      <w:rFonts w:ascii="Tahoma" w:cs="Tahoma" w:eastAsia="Times New Roman" w:hAnsi="Tahoma"/>
      <w:w w:val="100"/>
      <w:position w:val="-1"/>
      <w:sz w:val="16"/>
      <w:szCs w:val="16"/>
      <w:effect w:val="none"/>
      <w:vertAlign w:val="baseline"/>
      <w:cs w:val="0"/>
      <w:em w:val="none"/>
      <w:lang w:eastAsia="sk-SK"/>
    </w:rPr>
  </w:style>
  <w:style w:type="paragraph" w:styleId="Normální(web)">
    <w:name w:val="Normální (web)"/>
    <w:basedOn w:val="Normální"/>
    <w:next w:val="Normální(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sk-SK" w:val="sk-SK"/>
    </w:rPr>
  </w:style>
  <w:style w:type="numbering" w:styleId="Bezzoznamu1">
    <w:name w:val="Bez zoznamu1"/>
    <w:next w:val="Bezseznamu"/>
    <w:autoRedefine w:val="0"/>
    <w:hidden w:val="0"/>
    <w:qFormat w:val="1"/>
    <w:pPr>
      <w:suppressAutoHyphens w:val="1"/>
      <w:spacing w:line="1" w:lineRule="atLeast"/>
      <w:ind w:leftChars="-1" w:rightChars="0" w:firstLineChars="-1"/>
      <w:textDirection w:val="btLr"/>
      <w:textAlignment w:val="top"/>
      <w:outlineLvl w:val="0"/>
    </w:pPr>
  </w:style>
  <w:style w:type="numbering" w:styleId="Bezzoznamu11">
    <w:name w:val="Bez zoznamu11"/>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Nadpis4Char">
    <w:name w:val="Nadpis 4 Char"/>
    <w:next w:val="Nadpis4Char"/>
    <w:autoRedefine w:val="0"/>
    <w:hidden w:val="0"/>
    <w:qFormat w:val="0"/>
    <w:rPr>
      <w:rFonts w:ascii="Calibri Light" w:cs="Times New Roman" w:eastAsia="Times New Roman" w:hAnsi="Calibri Light"/>
      <w:i w:val="1"/>
      <w:iCs w:val="1"/>
      <w:color w:val="2f5496"/>
      <w:w w:val="100"/>
      <w:position w:val="-1"/>
      <w:sz w:val="22"/>
      <w:szCs w:val="22"/>
      <w:effect w:val="none"/>
      <w:vertAlign w:val="baseline"/>
      <w:cs w:val="0"/>
      <w:em w:val="none"/>
      <w:lang/>
    </w:r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TableParagraph">
    <w:name w:val="Table Paragraph"/>
    <w:basedOn w:val="Normální"/>
    <w:next w:val="TableParagraph"/>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sk-SK" w:eastAsia="sk-SK" w:val="sk-SK"/>
    </w:rPr>
  </w:style>
  <w:style w:type="character" w:styleId="Odkaznakomentář">
    <w:name w:val="Odkaz na komentář"/>
    <w:next w:val="Odkaznakomentář"/>
    <w:autoRedefine w:val="0"/>
    <w:hidden w:val="0"/>
    <w:qFormat w:val="1"/>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sk-SK"/>
    </w:rPr>
  </w:style>
  <w:style w:type="character" w:styleId="TextkomentářeChar">
    <w:name w:val="Text komentáře Char"/>
    <w:next w:val="TextkomentářeChar"/>
    <w:autoRedefine w:val="0"/>
    <w:hidden w:val="0"/>
    <w:qFormat w:val="0"/>
    <w:rPr>
      <w:w w:val="100"/>
      <w:position w:val="-1"/>
      <w:sz w:val="20"/>
      <w:szCs w:val="20"/>
      <w:effect w:val="none"/>
      <w:vertAlign w:val="baseline"/>
      <w:cs w:val="0"/>
      <w:em w:val="none"/>
      <w:lang/>
    </w:rPr>
  </w:style>
  <w:style w:type="paragraph" w:styleId="Předmětkomentáře">
    <w:name w:val="Předmět komentáře"/>
    <w:basedOn w:val="Textkomentáře"/>
    <w:next w:val="Textkomentáře"/>
    <w:autoRedefine w:val="0"/>
    <w:hidden w:val="0"/>
    <w:qFormat w:val="1"/>
    <w:pPr>
      <w:suppressAutoHyphens w:val="1"/>
      <w:spacing w:after="16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sk-SK"/>
    </w:rPr>
  </w:style>
  <w:style w:type="character" w:styleId="PředmětkomentářeChar">
    <w:name w:val="Předmět komentáře Char"/>
    <w:next w:val="PředmětkomentářeChar"/>
    <w:autoRedefine w:val="0"/>
    <w:hidden w:val="0"/>
    <w:qFormat w:val="0"/>
    <w:rPr>
      <w:b w:val="1"/>
      <w:bCs w:val="1"/>
      <w:w w:val="100"/>
      <w:position w:val="-1"/>
      <w:sz w:val="20"/>
      <w:szCs w:val="20"/>
      <w:effect w:val="none"/>
      <w:vertAlign w:val="baseline"/>
      <w:cs w:val="0"/>
      <w:em w:val="none"/>
      <w:lang/>
    </w:rPr>
  </w:style>
  <w:style w:type="character" w:styleId="Hypertextovýodkaz">
    <w:name w:val="Hypertextový odkaz"/>
    <w:next w:val="Hypertextovýodkaz"/>
    <w:autoRedefine w:val="0"/>
    <w:hidden w:val="0"/>
    <w:qFormat w:val="1"/>
    <w:rPr>
      <w:color w:val="0563c1"/>
      <w:w w:val="100"/>
      <w:position w:val="-1"/>
      <w:u w:val="single"/>
      <w:effect w:val="none"/>
      <w:vertAlign w:val="baseline"/>
      <w:cs w:val="0"/>
      <w:em w:val="none"/>
      <w:lang/>
    </w:rPr>
  </w:style>
  <w:style w:type="character" w:styleId="Silné">
    <w:name w:val="Silné"/>
    <w:next w:val="Silné"/>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omas.vlna@kr.unb.sk" TargetMode="Externa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8sQM3NvFkOMW5OITzSL/Q2aH4A==">AMUW2mXXO5iikacc5JikQ4l/4QO8zg3/h+R+DpNipLGvJ5e2+4+wOGaHpzW6i2tgGM8tc6ebOX9lwj+2ZRR7/xUNDRtqGIpBcVG3teVtG+ygdoV1WenOqzabW/zLcz4/cozr55dDkby+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2021-08-08T09:46:00Z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file>