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B4205" w14:textId="77777777" w:rsidR="005F4847" w:rsidRPr="00AE16F4" w:rsidRDefault="005F4847" w:rsidP="003F5E9A">
      <w:pPr>
        <w:tabs>
          <w:tab w:val="left" w:pos="5387"/>
        </w:tabs>
        <w:ind w:left="6096"/>
        <w:rPr>
          <w:rFonts w:ascii="Cambria" w:hAnsi="Cambria"/>
          <w:sz w:val="22"/>
          <w:szCs w:val="22"/>
          <w:lang w:val="sk-SK"/>
        </w:rPr>
      </w:pPr>
    </w:p>
    <w:p w14:paraId="7940AB41" w14:textId="2670F705" w:rsidR="00E10433" w:rsidRPr="00AE16F4" w:rsidRDefault="00EC42D7" w:rsidP="00EC42D7">
      <w:pPr>
        <w:tabs>
          <w:tab w:val="left" w:pos="5387"/>
        </w:tabs>
        <w:rPr>
          <w:rFonts w:ascii="Cambria" w:hAnsi="Cambria"/>
          <w:sz w:val="22"/>
          <w:szCs w:val="22"/>
          <w:lang w:val="sk-SK"/>
        </w:rPr>
      </w:pPr>
      <w:r>
        <w:rPr>
          <w:rFonts w:ascii="Cambria" w:hAnsi="Cambria"/>
          <w:sz w:val="22"/>
          <w:szCs w:val="22"/>
          <w:lang w:val="sk-SK"/>
        </w:rPr>
        <w:tab/>
        <w:t xml:space="preserve">           </w:t>
      </w:r>
      <w:r w:rsidR="002712F0" w:rsidRPr="00AE16F4">
        <w:rPr>
          <w:rFonts w:ascii="Cambria" w:hAnsi="Cambria"/>
          <w:sz w:val="22"/>
          <w:szCs w:val="22"/>
          <w:lang w:val="sk-SK"/>
        </w:rPr>
        <w:t>Číslo spisu:</w:t>
      </w:r>
      <w:r w:rsidR="00981F06" w:rsidRPr="00AE16F4">
        <w:rPr>
          <w:rFonts w:ascii="Cambria" w:hAnsi="Cambria"/>
          <w:sz w:val="22"/>
          <w:szCs w:val="22"/>
          <w:lang w:val="sk-SK"/>
        </w:rPr>
        <w:t xml:space="preserve"> </w:t>
      </w:r>
      <w:r w:rsidR="003F6DDC" w:rsidRPr="003F6DDC">
        <w:rPr>
          <w:rFonts w:ascii="Cambria" w:hAnsi="Cambria"/>
          <w:sz w:val="22"/>
          <w:szCs w:val="22"/>
          <w:lang w:val="sk-SK"/>
        </w:rPr>
        <w:t>NBS1-000-060-176</w:t>
      </w:r>
    </w:p>
    <w:p w14:paraId="40F6DCF7" w14:textId="29B87F02" w:rsidR="00B66DB9" w:rsidRPr="00AE16F4" w:rsidRDefault="00EC42D7" w:rsidP="00EC42D7">
      <w:pPr>
        <w:tabs>
          <w:tab w:val="left" w:pos="5529"/>
        </w:tabs>
        <w:rPr>
          <w:rFonts w:ascii="Cambria" w:hAnsi="Cambria"/>
          <w:sz w:val="22"/>
          <w:szCs w:val="22"/>
          <w:lang w:val="sk-SK"/>
        </w:rPr>
      </w:pPr>
      <w:r>
        <w:rPr>
          <w:rFonts w:ascii="Cambria" w:hAnsi="Cambria"/>
          <w:sz w:val="22"/>
          <w:szCs w:val="22"/>
          <w:lang w:val="sk-SK"/>
        </w:rPr>
        <w:tab/>
        <w:t xml:space="preserve">        </w:t>
      </w:r>
      <w:r w:rsidR="00B66DB9" w:rsidRPr="00AE16F4">
        <w:rPr>
          <w:rFonts w:ascii="Cambria" w:hAnsi="Cambria"/>
          <w:sz w:val="22"/>
          <w:szCs w:val="22"/>
          <w:lang w:val="sk-SK"/>
        </w:rPr>
        <w:t>Číslo záznamu:</w:t>
      </w:r>
      <w:r w:rsidR="001F5339">
        <w:rPr>
          <w:rFonts w:ascii="Cambria" w:hAnsi="Cambria"/>
          <w:sz w:val="22"/>
          <w:szCs w:val="22"/>
          <w:lang w:val="sk-SK"/>
        </w:rPr>
        <w:t xml:space="preserve"> </w:t>
      </w:r>
      <w:r w:rsidR="008B34EF" w:rsidRPr="008B34EF">
        <w:rPr>
          <w:rFonts w:ascii="Cambria" w:hAnsi="Cambria"/>
          <w:sz w:val="22"/>
          <w:szCs w:val="22"/>
          <w:lang w:val="sk-SK"/>
        </w:rPr>
        <w:t>100-000</w:t>
      </w:r>
      <w:r w:rsidR="00E647F1">
        <w:rPr>
          <w:rFonts w:ascii="Cambria" w:hAnsi="Cambria"/>
          <w:sz w:val="22"/>
          <w:szCs w:val="22"/>
          <w:lang w:val="sk-SK"/>
        </w:rPr>
        <w:t>-</w:t>
      </w:r>
      <w:r w:rsidR="00EA4113" w:rsidRPr="00EA4113">
        <w:rPr>
          <w:rFonts w:ascii="Cambria" w:hAnsi="Cambria"/>
          <w:sz w:val="22"/>
          <w:szCs w:val="22"/>
          <w:lang w:val="sk-SK"/>
        </w:rPr>
        <w:t>297-590</w:t>
      </w:r>
    </w:p>
    <w:p w14:paraId="5987CF6A" w14:textId="5C385378" w:rsidR="005F4847" w:rsidRPr="00AE16F4" w:rsidRDefault="00EC42D7" w:rsidP="00EC42D7">
      <w:pPr>
        <w:tabs>
          <w:tab w:val="left" w:pos="5245"/>
        </w:tabs>
        <w:rPr>
          <w:rFonts w:ascii="Cambria" w:hAnsi="Cambria"/>
          <w:sz w:val="22"/>
          <w:szCs w:val="22"/>
          <w:lang w:val="sk-SK"/>
        </w:rPr>
      </w:pPr>
      <w:r>
        <w:rPr>
          <w:rFonts w:ascii="Cambria" w:hAnsi="Cambria"/>
          <w:sz w:val="22"/>
          <w:szCs w:val="22"/>
          <w:lang w:val="sk-SK"/>
        </w:rPr>
        <w:t xml:space="preserve">                                                                                                                          </w:t>
      </w:r>
      <w:r w:rsidR="005F4847" w:rsidRPr="00AE16F4">
        <w:rPr>
          <w:rFonts w:ascii="Cambria" w:hAnsi="Cambria"/>
          <w:sz w:val="22"/>
          <w:szCs w:val="22"/>
          <w:lang w:val="sk-SK"/>
        </w:rPr>
        <w:t xml:space="preserve">Dátum: </w:t>
      </w:r>
      <w:r w:rsidR="000D00B9">
        <w:rPr>
          <w:rFonts w:ascii="Cambria" w:hAnsi="Cambria"/>
          <w:sz w:val="22"/>
          <w:szCs w:val="22"/>
          <w:lang w:val="sk-SK"/>
        </w:rPr>
        <w:t>19</w:t>
      </w:r>
      <w:r w:rsidR="00F95786">
        <w:rPr>
          <w:rFonts w:ascii="Cambria" w:hAnsi="Cambria"/>
          <w:sz w:val="22"/>
          <w:szCs w:val="22"/>
          <w:lang w:val="sk-SK"/>
        </w:rPr>
        <w:t>.07.</w:t>
      </w:r>
      <w:r>
        <w:rPr>
          <w:rFonts w:ascii="Cambria" w:hAnsi="Cambria"/>
          <w:sz w:val="22"/>
          <w:szCs w:val="22"/>
          <w:lang w:val="sk-SK"/>
        </w:rPr>
        <w:t>202</w:t>
      </w:r>
      <w:r w:rsidR="003F6DDC">
        <w:rPr>
          <w:rFonts w:ascii="Cambria" w:hAnsi="Cambria"/>
          <w:sz w:val="22"/>
          <w:szCs w:val="22"/>
          <w:lang w:val="sk-SK"/>
        </w:rPr>
        <w:t>1</w:t>
      </w:r>
    </w:p>
    <w:p w14:paraId="4A2CEDA0" w14:textId="77777777" w:rsidR="004865D1" w:rsidRPr="00AE16F4" w:rsidRDefault="004865D1" w:rsidP="00EE0D3D">
      <w:pPr>
        <w:tabs>
          <w:tab w:val="left" w:pos="5529"/>
        </w:tabs>
        <w:jc w:val="center"/>
        <w:rPr>
          <w:rFonts w:ascii="Cambria" w:hAnsi="Cambria"/>
          <w:b/>
          <w:sz w:val="22"/>
          <w:szCs w:val="22"/>
          <w:lang w:val="sk-SK"/>
        </w:rPr>
      </w:pPr>
    </w:p>
    <w:p w14:paraId="27E4AB45" w14:textId="77777777" w:rsidR="00052C97" w:rsidRPr="00AE16F4" w:rsidRDefault="00052C97" w:rsidP="00EE0D3D">
      <w:pPr>
        <w:jc w:val="center"/>
        <w:rPr>
          <w:rFonts w:ascii="Cambria" w:hAnsi="Cambria"/>
          <w:b/>
          <w:sz w:val="22"/>
          <w:szCs w:val="22"/>
          <w:lang w:val="sk-SK"/>
        </w:rPr>
      </w:pPr>
    </w:p>
    <w:p w14:paraId="0A8B3BAE" w14:textId="77777777" w:rsidR="001B469A" w:rsidRPr="00AE16F4" w:rsidRDefault="00E6446D" w:rsidP="003F5E9A">
      <w:pPr>
        <w:spacing w:after="120"/>
        <w:ind w:left="357"/>
        <w:jc w:val="center"/>
        <w:rPr>
          <w:rFonts w:ascii="Cambria" w:hAnsi="Cambria"/>
          <w:b/>
          <w:sz w:val="22"/>
          <w:szCs w:val="22"/>
          <w:lang w:val="sk-SK"/>
        </w:rPr>
      </w:pPr>
      <w:r w:rsidRPr="00AE16F4">
        <w:rPr>
          <w:rFonts w:ascii="Cambria" w:hAnsi="Cambria"/>
          <w:b/>
          <w:sz w:val="22"/>
          <w:szCs w:val="22"/>
          <w:lang w:val="sk-SK"/>
        </w:rPr>
        <w:t>VYSVETLENIE</w:t>
      </w:r>
    </w:p>
    <w:p w14:paraId="4F08E38D" w14:textId="73618D73" w:rsidR="001B469A" w:rsidRDefault="00B23E2A" w:rsidP="002D543C">
      <w:pPr>
        <w:autoSpaceDE w:val="0"/>
        <w:autoSpaceDN w:val="0"/>
        <w:adjustRightInd w:val="0"/>
        <w:jc w:val="center"/>
        <w:rPr>
          <w:rFonts w:ascii="Cambria" w:hAnsi="Cambria"/>
          <w:color w:val="000000"/>
          <w:sz w:val="22"/>
          <w:szCs w:val="22"/>
          <w:lang w:val="sk-SK"/>
        </w:rPr>
      </w:pPr>
      <w:r w:rsidRPr="00AE16F4">
        <w:rPr>
          <w:rFonts w:ascii="Cambria" w:hAnsi="Cambria"/>
          <w:color w:val="000000"/>
          <w:sz w:val="22"/>
          <w:szCs w:val="22"/>
          <w:lang w:val="sk-SK"/>
        </w:rPr>
        <w:t>i</w:t>
      </w:r>
      <w:r w:rsidR="00527AC3" w:rsidRPr="00AE16F4">
        <w:rPr>
          <w:rFonts w:ascii="Cambria" w:hAnsi="Cambria"/>
          <w:color w:val="000000"/>
          <w:sz w:val="22"/>
          <w:szCs w:val="22"/>
          <w:lang w:val="sk-SK"/>
        </w:rPr>
        <w:t xml:space="preserve">nformácií uvedených </w:t>
      </w:r>
      <w:r w:rsidR="003F6DDC">
        <w:rPr>
          <w:rFonts w:ascii="Cambria" w:hAnsi="Cambria"/>
          <w:color w:val="000000"/>
          <w:sz w:val="22"/>
          <w:szCs w:val="22"/>
          <w:lang w:val="sk-SK"/>
        </w:rPr>
        <w:t>v oznámení o vyhlásení verejného obstarávania</w:t>
      </w:r>
      <w:r w:rsidR="00527AC3" w:rsidRPr="00AE16F4">
        <w:rPr>
          <w:rFonts w:ascii="Cambria" w:hAnsi="Cambria"/>
          <w:color w:val="000000"/>
          <w:sz w:val="22"/>
          <w:szCs w:val="22"/>
          <w:lang w:val="sk-SK"/>
        </w:rPr>
        <w:t xml:space="preserve">, v súťažných podkladoch alebo v inej sprievodnej dokumentácii </w:t>
      </w:r>
      <w:r w:rsidR="00923673" w:rsidRPr="00AE16F4">
        <w:rPr>
          <w:rFonts w:ascii="Cambria" w:hAnsi="Cambria"/>
          <w:sz w:val="22"/>
          <w:szCs w:val="22"/>
          <w:lang w:val="sk-SK"/>
        </w:rPr>
        <w:t xml:space="preserve">podľa § </w:t>
      </w:r>
      <w:r w:rsidR="001F5339">
        <w:rPr>
          <w:rFonts w:ascii="Cambria" w:hAnsi="Cambria"/>
          <w:sz w:val="22"/>
          <w:szCs w:val="22"/>
          <w:lang w:val="sk-SK"/>
        </w:rPr>
        <w:t>48</w:t>
      </w:r>
      <w:r w:rsidR="000D6E7E" w:rsidRPr="00AE16F4">
        <w:rPr>
          <w:rFonts w:ascii="Cambria" w:hAnsi="Cambria"/>
          <w:sz w:val="22"/>
          <w:szCs w:val="22"/>
          <w:lang w:val="sk-SK"/>
        </w:rPr>
        <w:t xml:space="preserve"> </w:t>
      </w:r>
      <w:r w:rsidR="00E6446D" w:rsidRPr="00AE16F4">
        <w:rPr>
          <w:rFonts w:ascii="Cambria" w:hAnsi="Cambria"/>
          <w:color w:val="000000"/>
          <w:sz w:val="22"/>
          <w:szCs w:val="22"/>
          <w:lang w:val="sk-SK"/>
        </w:rPr>
        <w:t>zákona č. 343/2015 Z. z. o verejnom obstarávaní a o zmene a doplnení niektorých zákonov v znení neskorších predpisov (ďalej len „zákon o verejnom obstarávaní“)</w:t>
      </w:r>
    </w:p>
    <w:p w14:paraId="7F905823" w14:textId="77777777" w:rsidR="002D543C" w:rsidRPr="002D543C" w:rsidRDefault="002D543C" w:rsidP="002D543C">
      <w:pPr>
        <w:autoSpaceDE w:val="0"/>
        <w:autoSpaceDN w:val="0"/>
        <w:adjustRightInd w:val="0"/>
        <w:jc w:val="center"/>
        <w:rPr>
          <w:rFonts w:ascii="Cambria" w:hAnsi="Cambria"/>
          <w:color w:val="000000"/>
          <w:sz w:val="22"/>
          <w:szCs w:val="22"/>
          <w:lang w:val="sk-SK"/>
        </w:rPr>
      </w:pPr>
    </w:p>
    <w:p w14:paraId="230E7463" w14:textId="22FA45B8" w:rsidR="00E6446D" w:rsidRPr="00B060A4" w:rsidRDefault="00E6446D" w:rsidP="00BA37F3">
      <w:pPr>
        <w:jc w:val="both"/>
        <w:rPr>
          <w:rFonts w:ascii="Cambria" w:hAnsi="Cambria"/>
          <w:sz w:val="22"/>
          <w:szCs w:val="22"/>
          <w:lang w:val="sk-SK"/>
        </w:rPr>
      </w:pPr>
      <w:r w:rsidRPr="0075503B">
        <w:rPr>
          <w:rFonts w:ascii="Cambria" w:hAnsi="Cambria"/>
          <w:sz w:val="22"/>
          <w:szCs w:val="22"/>
          <w:lang w:val="sk-SK"/>
        </w:rPr>
        <w:t>Verejný obstarávateľ, Národná banka Slovenska so sídlom Imricha Karvaša 1, 813 25 Bratislava (ďalej len „verejný obstarávateľ</w:t>
      </w:r>
      <w:bookmarkStart w:id="0" w:name="_Hlk75852783"/>
      <w:r w:rsidRPr="0075503B">
        <w:rPr>
          <w:rFonts w:ascii="Cambria" w:hAnsi="Cambria"/>
          <w:sz w:val="22"/>
          <w:szCs w:val="22"/>
          <w:lang w:val="sk-SK"/>
        </w:rPr>
        <w:t>“</w:t>
      </w:r>
      <w:bookmarkEnd w:id="0"/>
      <w:r w:rsidRPr="0075503B">
        <w:rPr>
          <w:rFonts w:ascii="Cambria" w:hAnsi="Cambria"/>
          <w:sz w:val="22"/>
          <w:szCs w:val="22"/>
          <w:lang w:val="sk-SK"/>
        </w:rPr>
        <w:t>)</w:t>
      </w:r>
      <w:r w:rsidR="00F65D06" w:rsidRPr="0075503B">
        <w:rPr>
          <w:rFonts w:ascii="Cambria" w:hAnsi="Cambria"/>
          <w:sz w:val="22"/>
          <w:szCs w:val="22"/>
          <w:lang w:val="sk-SK"/>
        </w:rPr>
        <w:t>,</w:t>
      </w:r>
      <w:r w:rsidRPr="0075503B">
        <w:rPr>
          <w:rFonts w:ascii="Cambria" w:hAnsi="Cambria"/>
          <w:bCs/>
          <w:kern w:val="32"/>
          <w:sz w:val="22"/>
          <w:szCs w:val="22"/>
          <w:lang w:val="sk-SK" w:eastAsia="sk-SK"/>
        </w:rPr>
        <w:t xml:space="preserve"> obdržal dňa </w:t>
      </w:r>
      <w:r w:rsidR="00763560" w:rsidRPr="0075503B">
        <w:rPr>
          <w:rFonts w:ascii="Cambria" w:hAnsi="Cambria"/>
          <w:bCs/>
          <w:kern w:val="32"/>
          <w:sz w:val="22"/>
          <w:szCs w:val="22"/>
          <w:lang w:val="sk-SK" w:eastAsia="sk-SK"/>
        </w:rPr>
        <w:t>0</w:t>
      </w:r>
      <w:r w:rsidR="00DF5067">
        <w:rPr>
          <w:rFonts w:ascii="Cambria" w:hAnsi="Cambria"/>
          <w:bCs/>
          <w:kern w:val="32"/>
          <w:sz w:val="22"/>
          <w:szCs w:val="22"/>
          <w:lang w:val="sk-SK" w:eastAsia="sk-SK"/>
        </w:rPr>
        <w:t>9</w:t>
      </w:r>
      <w:r w:rsidR="00763560" w:rsidRPr="0075503B">
        <w:rPr>
          <w:rFonts w:ascii="Cambria" w:hAnsi="Cambria"/>
          <w:bCs/>
          <w:kern w:val="32"/>
          <w:sz w:val="22"/>
          <w:szCs w:val="22"/>
          <w:lang w:val="sk-SK" w:eastAsia="sk-SK"/>
        </w:rPr>
        <w:t xml:space="preserve">.07.2021 </w:t>
      </w:r>
      <w:r w:rsidRPr="0075503B">
        <w:rPr>
          <w:rFonts w:ascii="Cambria" w:hAnsi="Cambria"/>
          <w:sz w:val="22"/>
          <w:szCs w:val="22"/>
          <w:lang w:val="sk-SK"/>
        </w:rPr>
        <w:t xml:space="preserve">prostredníctvom elektronického prostriedku, komunikačného rozhrania systému JOSEPHINE </w:t>
      </w:r>
      <w:r w:rsidRPr="0075503B">
        <w:rPr>
          <w:rFonts w:ascii="Cambria" w:hAnsi="Cambria"/>
          <w:bCs/>
          <w:kern w:val="32"/>
          <w:sz w:val="22"/>
          <w:szCs w:val="22"/>
          <w:lang w:val="sk-SK" w:eastAsia="sk-SK"/>
        </w:rPr>
        <w:t>žiadosť o</w:t>
      </w:r>
      <w:r w:rsidR="00527AC3" w:rsidRPr="0075503B">
        <w:rPr>
          <w:rFonts w:ascii="Cambria" w:hAnsi="Cambria"/>
          <w:bCs/>
          <w:kern w:val="32"/>
          <w:sz w:val="22"/>
          <w:szCs w:val="22"/>
          <w:lang w:val="sk-SK" w:eastAsia="sk-SK"/>
        </w:rPr>
        <w:t> </w:t>
      </w:r>
      <w:r w:rsidRPr="0075503B">
        <w:rPr>
          <w:rFonts w:ascii="Cambria" w:hAnsi="Cambria"/>
          <w:bCs/>
          <w:kern w:val="32"/>
          <w:sz w:val="22"/>
          <w:szCs w:val="22"/>
          <w:lang w:val="sk-SK" w:eastAsia="sk-SK"/>
        </w:rPr>
        <w:t>vysvetlenie</w:t>
      </w:r>
      <w:r w:rsidR="00527AC3" w:rsidRPr="0075503B">
        <w:rPr>
          <w:rFonts w:ascii="Cambria" w:hAnsi="Cambria"/>
          <w:bCs/>
          <w:kern w:val="32"/>
          <w:sz w:val="22"/>
          <w:szCs w:val="22"/>
          <w:lang w:val="sk-SK" w:eastAsia="sk-SK"/>
        </w:rPr>
        <w:t xml:space="preserve"> i</w:t>
      </w:r>
      <w:r w:rsidR="00527AC3" w:rsidRPr="0075503B">
        <w:rPr>
          <w:rFonts w:ascii="Cambria" w:hAnsi="Cambria"/>
          <w:sz w:val="22"/>
          <w:szCs w:val="22"/>
          <w:lang w:val="sk-SK"/>
        </w:rPr>
        <w:t>nformácií uvedených v súťažných podkladoch</w:t>
      </w:r>
      <w:r w:rsidR="0025232E" w:rsidRPr="0075503B">
        <w:rPr>
          <w:rFonts w:ascii="Cambria" w:hAnsi="Cambria"/>
          <w:bCs/>
          <w:kern w:val="32"/>
          <w:sz w:val="22"/>
          <w:szCs w:val="22"/>
          <w:lang w:val="sk-SK" w:eastAsia="sk-SK"/>
        </w:rPr>
        <w:t>,</w:t>
      </w:r>
      <w:r w:rsidRPr="0075503B">
        <w:rPr>
          <w:rFonts w:ascii="Cambria" w:hAnsi="Cambria"/>
          <w:bCs/>
          <w:kern w:val="32"/>
          <w:sz w:val="22"/>
          <w:szCs w:val="22"/>
          <w:lang w:val="sk-SK" w:eastAsia="sk-SK"/>
        </w:rPr>
        <w:t xml:space="preserve"> </w:t>
      </w:r>
      <w:r w:rsidRPr="0075503B">
        <w:rPr>
          <w:rFonts w:ascii="Cambria" w:hAnsi="Cambria"/>
          <w:sz w:val="22"/>
          <w:szCs w:val="22"/>
          <w:lang w:val="sk-SK"/>
        </w:rPr>
        <w:t>v </w:t>
      </w:r>
      <w:r w:rsidR="00C44A15" w:rsidRPr="0075503B">
        <w:rPr>
          <w:rFonts w:ascii="Cambria" w:hAnsi="Cambria"/>
          <w:sz w:val="22"/>
          <w:szCs w:val="22"/>
          <w:lang w:val="sk-SK"/>
        </w:rPr>
        <w:t xml:space="preserve"> nadlimitnej zákazke s názvom „</w:t>
      </w:r>
      <w:r w:rsidR="003F6DDC" w:rsidRPr="00B060A4">
        <w:rPr>
          <w:rFonts w:ascii="Cambria" w:hAnsi="Cambria"/>
          <w:b/>
          <w:bCs/>
          <w:sz w:val="22"/>
          <w:szCs w:val="22"/>
          <w:lang w:val="sk-SK"/>
        </w:rPr>
        <w:t>Dátová stratégia Národnej banky Slovenska</w:t>
      </w:r>
      <w:r w:rsidR="00BA37F3" w:rsidRPr="0075503B">
        <w:rPr>
          <w:rFonts w:ascii="Cambria" w:hAnsi="Cambria"/>
          <w:sz w:val="22"/>
          <w:szCs w:val="22"/>
          <w:lang w:val="sk-SK"/>
        </w:rPr>
        <w:t>“</w:t>
      </w:r>
      <w:r w:rsidR="003F6DDC" w:rsidRPr="00B060A4">
        <w:rPr>
          <w:rFonts w:ascii="Cambria" w:hAnsi="Cambria"/>
          <w:b/>
          <w:bCs/>
          <w:sz w:val="22"/>
          <w:szCs w:val="22"/>
          <w:lang w:val="sk-SK"/>
        </w:rPr>
        <w:t xml:space="preserve"> </w:t>
      </w:r>
      <w:r w:rsidR="003F6DDC" w:rsidRPr="00B060A4">
        <w:rPr>
          <w:rFonts w:ascii="Cambria" w:hAnsi="Cambria"/>
          <w:sz w:val="22"/>
          <w:szCs w:val="22"/>
          <w:lang w:val="sk-SK"/>
        </w:rPr>
        <w:t xml:space="preserve"> uverejnenej v Ú. v. EÚ/S 117 dňa 18.06.2021 pod číslom 2021/S 117-306348 a vo Vestníku verejného obstarávania 144/2021 dňa 21.06.2021</w:t>
      </w:r>
      <w:r w:rsidR="00BA37F3" w:rsidRPr="00B060A4">
        <w:rPr>
          <w:rFonts w:ascii="Cambria" w:hAnsi="Cambria"/>
          <w:sz w:val="22"/>
          <w:szCs w:val="22"/>
          <w:lang w:val="sk-SK"/>
        </w:rPr>
        <w:t xml:space="preserve"> </w:t>
      </w:r>
      <w:r w:rsidR="003F6DDC" w:rsidRPr="00B060A4">
        <w:rPr>
          <w:rFonts w:ascii="Cambria" w:hAnsi="Cambria"/>
          <w:sz w:val="22"/>
          <w:szCs w:val="22"/>
          <w:lang w:val="sk-SK"/>
        </w:rPr>
        <w:t xml:space="preserve">pod číslom 29953 </w:t>
      </w:r>
      <w:r w:rsidR="00BA37F3" w:rsidRPr="00B060A4">
        <w:rPr>
          <w:rFonts w:ascii="Cambria" w:hAnsi="Cambria"/>
          <w:sz w:val="22"/>
          <w:szCs w:val="22"/>
          <w:lang w:val="sk-SK"/>
        </w:rPr>
        <w:t>–</w:t>
      </w:r>
      <w:r w:rsidR="003F6DDC" w:rsidRPr="00B060A4">
        <w:rPr>
          <w:rFonts w:ascii="Cambria" w:hAnsi="Cambria"/>
          <w:sz w:val="22"/>
          <w:szCs w:val="22"/>
          <w:lang w:val="sk-SK"/>
        </w:rPr>
        <w:t xml:space="preserve"> MSS</w:t>
      </w:r>
      <w:r w:rsidR="00BA37F3" w:rsidRPr="00B060A4">
        <w:rPr>
          <w:rFonts w:ascii="Cambria" w:hAnsi="Cambria"/>
          <w:sz w:val="22"/>
          <w:szCs w:val="22"/>
          <w:lang w:val="sk-SK"/>
        </w:rPr>
        <w:t xml:space="preserve"> </w:t>
      </w:r>
      <w:r w:rsidRPr="0075503B">
        <w:rPr>
          <w:rFonts w:ascii="Cambria" w:hAnsi="Cambria"/>
          <w:sz w:val="22"/>
          <w:szCs w:val="22"/>
          <w:lang w:val="sk-SK"/>
        </w:rPr>
        <w:t>(ďalej len „žiados</w:t>
      </w:r>
      <w:r w:rsidR="005F4847" w:rsidRPr="0075503B">
        <w:rPr>
          <w:rFonts w:ascii="Cambria" w:hAnsi="Cambria"/>
          <w:sz w:val="22"/>
          <w:szCs w:val="22"/>
          <w:lang w:val="sk-SK"/>
        </w:rPr>
        <w:t>ť</w:t>
      </w:r>
      <w:r w:rsidRPr="0075503B">
        <w:rPr>
          <w:rFonts w:ascii="Cambria" w:hAnsi="Cambria"/>
          <w:sz w:val="22"/>
          <w:szCs w:val="22"/>
          <w:lang w:val="sk-SK"/>
        </w:rPr>
        <w:t xml:space="preserve"> o vysvetlenie“)</w:t>
      </w:r>
      <w:r w:rsidRPr="0075503B">
        <w:rPr>
          <w:rFonts w:ascii="Cambria" w:hAnsi="Cambria"/>
          <w:bCs/>
          <w:sz w:val="22"/>
          <w:szCs w:val="22"/>
          <w:lang w:val="sk-SK"/>
        </w:rPr>
        <w:t xml:space="preserve">. </w:t>
      </w:r>
    </w:p>
    <w:p w14:paraId="7C93BD79" w14:textId="77777777" w:rsidR="0014055F" w:rsidRPr="0075503B" w:rsidRDefault="0014055F" w:rsidP="003F5E9A">
      <w:pPr>
        <w:jc w:val="both"/>
        <w:rPr>
          <w:rFonts w:ascii="Cambria" w:hAnsi="Cambria"/>
          <w:sz w:val="22"/>
          <w:szCs w:val="22"/>
          <w:u w:val="single"/>
          <w:lang w:val="sk-SK"/>
        </w:rPr>
      </w:pPr>
    </w:p>
    <w:p w14:paraId="4AD8BE0C" w14:textId="1399331C" w:rsidR="00E6446D" w:rsidRPr="00AE16F4" w:rsidRDefault="00E6446D" w:rsidP="003F5E9A">
      <w:pPr>
        <w:jc w:val="both"/>
        <w:rPr>
          <w:rFonts w:ascii="Cambria" w:hAnsi="Cambria"/>
          <w:sz w:val="22"/>
          <w:szCs w:val="22"/>
          <w:u w:val="single"/>
          <w:lang w:val="sk-SK"/>
        </w:rPr>
      </w:pPr>
      <w:r w:rsidRPr="00AE16F4">
        <w:rPr>
          <w:rFonts w:ascii="Cambria" w:hAnsi="Cambria"/>
          <w:sz w:val="22"/>
          <w:szCs w:val="22"/>
          <w:u w:val="single"/>
          <w:lang w:val="sk-SK"/>
        </w:rPr>
        <w:t>Po podro</w:t>
      </w:r>
      <w:r w:rsidR="0025232E" w:rsidRPr="00AE16F4">
        <w:rPr>
          <w:rFonts w:ascii="Cambria" w:hAnsi="Cambria"/>
          <w:sz w:val="22"/>
          <w:szCs w:val="22"/>
          <w:u w:val="single"/>
          <w:lang w:val="sk-SK"/>
        </w:rPr>
        <w:t>bnom oboznámení sa so žiadosťou</w:t>
      </w:r>
      <w:r w:rsidRPr="00AE16F4">
        <w:rPr>
          <w:rFonts w:ascii="Cambria" w:hAnsi="Cambria"/>
          <w:sz w:val="22"/>
          <w:szCs w:val="22"/>
          <w:u w:val="single"/>
          <w:lang w:val="sk-SK"/>
        </w:rPr>
        <w:t xml:space="preserve"> o vysvetlenie </w:t>
      </w:r>
      <w:r w:rsidR="00B23E2A" w:rsidRPr="00AE16F4">
        <w:rPr>
          <w:rFonts w:ascii="Cambria" w:hAnsi="Cambria"/>
          <w:sz w:val="22"/>
          <w:szCs w:val="22"/>
          <w:u w:val="single"/>
          <w:lang w:val="sk-SK"/>
        </w:rPr>
        <w:t xml:space="preserve">Vám </w:t>
      </w:r>
      <w:r w:rsidRPr="00AE16F4">
        <w:rPr>
          <w:rFonts w:ascii="Cambria" w:hAnsi="Cambria"/>
          <w:sz w:val="22"/>
          <w:szCs w:val="22"/>
          <w:u w:val="single"/>
          <w:lang w:val="sk-SK"/>
        </w:rPr>
        <w:t xml:space="preserve">verejný obstarávateľ v súlade s ustanovením </w:t>
      </w:r>
      <w:r w:rsidR="00C44A15">
        <w:rPr>
          <w:rFonts w:ascii="Cambria" w:hAnsi="Cambria"/>
          <w:sz w:val="22"/>
          <w:szCs w:val="22"/>
          <w:u w:val="single"/>
          <w:lang w:val="sk-SK"/>
        </w:rPr>
        <w:t>§ 48</w:t>
      </w:r>
      <w:r w:rsidR="00A87068" w:rsidRPr="00AE16F4">
        <w:rPr>
          <w:rFonts w:ascii="Cambria" w:hAnsi="Cambria"/>
          <w:sz w:val="22"/>
          <w:szCs w:val="22"/>
          <w:u w:val="single"/>
          <w:lang w:val="sk-SK"/>
        </w:rPr>
        <w:t xml:space="preserve"> </w:t>
      </w:r>
      <w:r w:rsidRPr="00AE16F4">
        <w:rPr>
          <w:rFonts w:ascii="Cambria" w:hAnsi="Cambria"/>
          <w:sz w:val="22"/>
          <w:szCs w:val="22"/>
          <w:u w:val="single"/>
          <w:lang w:val="sk-SK"/>
        </w:rPr>
        <w:t xml:space="preserve">zákona </w:t>
      </w:r>
      <w:r w:rsidR="0025232E" w:rsidRPr="00AE16F4">
        <w:rPr>
          <w:rFonts w:ascii="Cambria" w:hAnsi="Cambria"/>
          <w:sz w:val="22"/>
          <w:szCs w:val="22"/>
          <w:u w:val="single"/>
          <w:lang w:val="sk-SK"/>
        </w:rPr>
        <w:t>o verej</w:t>
      </w:r>
      <w:r w:rsidRPr="00AE16F4">
        <w:rPr>
          <w:rFonts w:ascii="Cambria" w:hAnsi="Cambria"/>
          <w:sz w:val="22"/>
          <w:szCs w:val="22"/>
          <w:u w:val="single"/>
          <w:lang w:val="sk-SK"/>
        </w:rPr>
        <w:t xml:space="preserve">nom obstarávaní poskytuje </w:t>
      </w:r>
      <w:r w:rsidR="0025232E" w:rsidRPr="00AE16F4">
        <w:rPr>
          <w:rFonts w:ascii="Cambria" w:hAnsi="Cambria"/>
          <w:sz w:val="22"/>
          <w:szCs w:val="22"/>
          <w:u w:val="single"/>
          <w:lang w:val="sk-SK"/>
        </w:rPr>
        <w:t xml:space="preserve">nasledujúce </w:t>
      </w:r>
      <w:r w:rsidRPr="00AE16F4">
        <w:rPr>
          <w:rFonts w:ascii="Cambria" w:hAnsi="Cambria"/>
          <w:sz w:val="22"/>
          <w:szCs w:val="22"/>
          <w:u w:val="single"/>
          <w:lang w:val="sk-SK"/>
        </w:rPr>
        <w:t>vysvetlenie:</w:t>
      </w:r>
    </w:p>
    <w:p w14:paraId="222521B7" w14:textId="77777777" w:rsidR="006E6AB0" w:rsidRDefault="006E6AB0" w:rsidP="006E6AB0">
      <w:pPr>
        <w:spacing w:after="60"/>
        <w:jc w:val="both"/>
        <w:rPr>
          <w:rFonts w:ascii="Cambria" w:hAnsi="Cambria"/>
          <w:b/>
          <w:sz w:val="22"/>
          <w:szCs w:val="22"/>
          <w:u w:val="single"/>
          <w:lang w:val="sk-SK"/>
        </w:rPr>
      </w:pPr>
    </w:p>
    <w:p w14:paraId="1BDDC104" w14:textId="77777777" w:rsidR="00DF5067" w:rsidRPr="00DF5067" w:rsidRDefault="00DF5067" w:rsidP="00DF5067">
      <w:pPr>
        <w:spacing w:after="120"/>
        <w:jc w:val="both"/>
        <w:rPr>
          <w:lang w:val="sk-SK"/>
        </w:rPr>
      </w:pPr>
      <w:r w:rsidRPr="00DF5067">
        <w:rPr>
          <w:lang w:val="sk-SK"/>
        </w:rPr>
        <w:t>Verejný obstarávateľ v bode 37.1.1 Súťažných podkladov uviedol, cit.: „</w:t>
      </w:r>
      <w:r w:rsidRPr="00DF5067">
        <w:rPr>
          <w:i/>
          <w:iCs/>
          <w:lang w:val="sk-SK"/>
        </w:rPr>
        <w:t xml:space="preserve">Podľa § 34 ods. 1 písm. a) zákona o verejnom obstarávaní – </w:t>
      </w:r>
      <w:r w:rsidRPr="00DF5067">
        <w:rPr>
          <w:i/>
          <w:iCs/>
          <w:u w:val="single"/>
          <w:lang w:val="sk-SK"/>
        </w:rPr>
        <w:t xml:space="preserve">zoznam dodávok poskytnutých služieb </w:t>
      </w:r>
      <w:r w:rsidRPr="00DF5067">
        <w:rPr>
          <w:b/>
          <w:bCs/>
          <w:i/>
          <w:iCs/>
          <w:u w:val="single"/>
          <w:lang w:val="sk-SK"/>
        </w:rPr>
        <w:t>za predchádzajúce tri roky od vyhlásenia verejného obstarávania</w:t>
      </w:r>
      <w:r w:rsidRPr="00DF5067">
        <w:rPr>
          <w:i/>
          <w:iCs/>
          <w:lang w:val="sk-SK"/>
        </w:rPr>
        <w:t xml:space="preserve"> s uvedením cien, lehôt dodania a odberateľov; dokladom je referencia, ak odberateľom bol verejný obstarávateľ alebo obstarávateľ podľa zákona o verejnom obstarávaní.</w:t>
      </w:r>
      <w:r w:rsidRPr="00DF5067">
        <w:rPr>
          <w:lang w:val="sk-SK"/>
        </w:rPr>
        <w:t>“.</w:t>
      </w:r>
    </w:p>
    <w:p w14:paraId="25426596" w14:textId="77777777" w:rsidR="00DF5067" w:rsidRPr="00DF5067" w:rsidRDefault="00DF5067" w:rsidP="00DF5067">
      <w:pPr>
        <w:spacing w:after="120"/>
        <w:jc w:val="both"/>
        <w:rPr>
          <w:lang w:val="sk-SK"/>
        </w:rPr>
      </w:pPr>
      <w:r w:rsidRPr="00DF5067">
        <w:rPr>
          <w:lang w:val="sk-SK"/>
        </w:rPr>
        <w:t>Verejný obstarávateľ v bode 37.1.1.1 Súťažných podkladov stanovil minimálnu požadovanú úroveň podmienky účasti týkajúcu sa technickej spôsobilosti alebo odbornej spôsobilosti podľa § 34 ods. 1 písm. a) zákona č. 343/2015 Z. z. o verejnom obstarávaní a o zmene a doplnení niektorých zákonov v znení neskorších predpisov (ďalej len „zákon o verejnom obstarávaní“) nasledovne, cit.: „</w:t>
      </w:r>
      <w:r w:rsidRPr="00DF5067">
        <w:rPr>
          <w:i/>
          <w:iCs/>
          <w:lang w:val="sk-SK"/>
        </w:rPr>
        <w:t xml:space="preserve">37.1.1.1 Verejný obstarávateľ požaduje, aby uchádzač v ponuke predložil: zoznam dodávok poskytnutých služieb, ktorý bude obsahovať minimálne dva projekty, ktorých obsahom dodávky bol návrh celkovej stratégie organizácie pre oblasť dát, vrátane návrhu strategických priorít v oblasti dát, identifikácia bariér a možností ich prekonania, návrhov konkrétnych projektov potrebných pre úspešnú implementáciu navrhovanej stratégie vrátane komplexného procesného modelu a návrhu technického riešenia. </w:t>
      </w:r>
      <w:r w:rsidRPr="00DF5067">
        <w:rPr>
          <w:i/>
          <w:iCs/>
          <w:u w:val="single"/>
          <w:lang w:val="sk-SK"/>
        </w:rPr>
        <w:t xml:space="preserve">Predložené projekty musia byť minimálne v celkovej hodnote 250 000,- eur bez DPH </w:t>
      </w:r>
      <w:r w:rsidRPr="00DF5067">
        <w:rPr>
          <w:b/>
          <w:bCs/>
          <w:i/>
          <w:iCs/>
          <w:u w:val="single"/>
          <w:lang w:val="sk-SK"/>
        </w:rPr>
        <w:t>za uplynulých 5 rokov od lehoty na predkladanie ponúk</w:t>
      </w:r>
      <w:r w:rsidRPr="00DF5067">
        <w:rPr>
          <w:i/>
          <w:iCs/>
          <w:lang w:val="sk-SK"/>
        </w:rPr>
        <w:t xml:space="preserve"> a </w:t>
      </w:r>
      <w:r w:rsidRPr="00DF5067">
        <w:rPr>
          <w:i/>
          <w:iCs/>
          <w:u w:val="single"/>
          <w:lang w:val="sk-SK"/>
        </w:rPr>
        <w:t xml:space="preserve">minimálne jeden z týchto projektov musí byť minimálne v hodnote 150 000,- eur bez DPH a </w:t>
      </w:r>
      <w:r w:rsidRPr="00DF5067">
        <w:rPr>
          <w:b/>
          <w:bCs/>
          <w:i/>
          <w:iCs/>
          <w:u w:val="single"/>
          <w:lang w:val="sk-SK"/>
        </w:rPr>
        <w:t>realizovaný pre centrálnu banku, regulátora finančného trhu, európsky orgán dohľadu alebo štatistický úrad v niektorej z krajín EU</w:t>
      </w:r>
      <w:r w:rsidRPr="00DF5067">
        <w:rPr>
          <w:i/>
          <w:iCs/>
          <w:lang w:val="sk-SK"/>
        </w:rPr>
        <w:t>.</w:t>
      </w:r>
      <w:r w:rsidRPr="00DF5067">
        <w:rPr>
          <w:lang w:val="sk-SK"/>
        </w:rPr>
        <w:t>“.</w:t>
      </w:r>
    </w:p>
    <w:p w14:paraId="2734124A" w14:textId="77777777" w:rsidR="00DF5067" w:rsidRDefault="00DF5067" w:rsidP="00DF5067">
      <w:pPr>
        <w:jc w:val="both"/>
        <w:rPr>
          <w:i/>
          <w:iCs/>
          <w:lang w:val="sk-SK"/>
        </w:rPr>
      </w:pPr>
      <w:r w:rsidRPr="00DF5067">
        <w:rPr>
          <w:lang w:val="sk-SK"/>
        </w:rPr>
        <w:t xml:space="preserve">Verejný obstarávateľ zverejnil dňa 07.07.2021 na stránke </w:t>
      </w:r>
      <w:hyperlink r:id="rId10" w:history="1">
        <w:r w:rsidRPr="00DF5067">
          <w:rPr>
            <w:rStyle w:val="Hyperlink"/>
            <w:lang w:val="sk-SK"/>
          </w:rPr>
          <w:t xml:space="preserve">https://josephine.proebiz.com/sk/tender/12873/summary </w:t>
        </w:r>
      </w:hyperlink>
      <w:r w:rsidRPr="00DF5067">
        <w:rPr>
          <w:lang w:val="sk-SK"/>
        </w:rPr>
        <w:t>dokument s názvom „VYSVETLENIE informácií uvedených v oznámení o vyhlásení verejného obstarávania, v súťažných podkladoch alebo v inej sprievodnej dokumentácii podľa § 48 zákona č. 343/2015 Z. z. o verejnom obstarávaní a o zmene a doplnení niektorých zákonov v znení neskorších predpisov (ďalej len „zákon o verejnom obstarávaní“)“,</w:t>
      </w:r>
      <w:r w:rsidRPr="00DF5067">
        <w:rPr>
          <w:i/>
          <w:iCs/>
          <w:lang w:val="sk-SK"/>
        </w:rPr>
        <w:t xml:space="preserve"> </w:t>
      </w:r>
      <w:r w:rsidRPr="00DF5067">
        <w:rPr>
          <w:lang w:val="sk-SK"/>
        </w:rPr>
        <w:t xml:space="preserve">Číslo spisu: NBS1-000-060-176, Číslo záznamu: 100-000-295-806, Dátum: 06.07.202. Na základe odpovede na otázku č. 1 pristúpil </w:t>
      </w:r>
      <w:r w:rsidRPr="00DF5067">
        <w:rPr>
          <w:lang w:val="sk-SK"/>
        </w:rPr>
        <w:lastRenderedPageBreak/>
        <w:t>verejný obstarávateľ k úprave Súťažných podkladov, konkrétne bodu 37.1.1.1, ktorého nové znenie je nasledovné, cit.: „</w:t>
      </w:r>
      <w:r w:rsidRPr="00DF5067">
        <w:rPr>
          <w:i/>
          <w:iCs/>
          <w:lang w:val="sk-SK"/>
        </w:rPr>
        <w:t xml:space="preserve">37.1.1.1 Verejný obstarávateľ požaduje, aby uchádzač v ponuke predložil: zoznam dodávok poskytnutých služieb, ktorý bude obsahovať minimálne dva projekty, ktorých </w:t>
      </w:r>
      <w:r w:rsidRPr="00DF5067">
        <w:rPr>
          <w:b/>
          <w:bCs/>
          <w:i/>
          <w:iCs/>
          <w:u w:val="single"/>
          <w:lang w:val="sk-SK"/>
        </w:rPr>
        <w:t>obsahom dodávky bol návrh celkovej stratégie organizácie pre oblasť dát, vrátane návrhu strategických priorít v oblasti dát, identifikácia bariér a možností ich prekonania, návrhov konkrétnych projektov potrebných pre úspešnú implementáciu navrhovanej stratégie vrátane komplexného procesného modelu a návrhu technického riešenia</w:t>
      </w:r>
      <w:r w:rsidRPr="00DF5067">
        <w:rPr>
          <w:i/>
          <w:iCs/>
          <w:lang w:val="sk-SK"/>
        </w:rPr>
        <w:t xml:space="preserve">. </w:t>
      </w:r>
      <w:r w:rsidRPr="00DF5067">
        <w:rPr>
          <w:i/>
          <w:iCs/>
          <w:u w:val="single"/>
          <w:lang w:val="sk-SK"/>
        </w:rPr>
        <w:t xml:space="preserve">Predložené projekty musia byť minimálne v celkovej hodnote 250 000,- eur bez DPH </w:t>
      </w:r>
      <w:r w:rsidRPr="00DF5067">
        <w:rPr>
          <w:b/>
          <w:bCs/>
          <w:i/>
          <w:iCs/>
          <w:u w:val="single"/>
          <w:lang w:val="sk-SK"/>
        </w:rPr>
        <w:t>za uplynulých 5 rokov od lehoty na predkladanie ponúk</w:t>
      </w:r>
      <w:r w:rsidRPr="00DF5067">
        <w:rPr>
          <w:i/>
          <w:iCs/>
          <w:lang w:val="sk-SK"/>
        </w:rPr>
        <w:t xml:space="preserve"> a </w:t>
      </w:r>
      <w:r w:rsidRPr="00DF5067">
        <w:rPr>
          <w:i/>
          <w:iCs/>
          <w:u w:val="single"/>
          <w:lang w:val="sk-SK"/>
        </w:rPr>
        <w:t xml:space="preserve">minimálne jeden z týchto projektov musí byť minimálne v hodnote 150 000,- eur bez DPH a </w:t>
      </w:r>
      <w:r w:rsidRPr="00DF5067">
        <w:rPr>
          <w:b/>
          <w:bCs/>
          <w:i/>
          <w:iCs/>
          <w:u w:val="single"/>
          <w:lang w:val="sk-SK"/>
        </w:rPr>
        <w:t>realizovaný pre centrálnu banku, národného regulátora (NRA – National Regulatory Authority) v niektorej z krajín EU, európsky orgán dohľadu alebo štatistický úrad v niektorej z krajín EU</w:t>
      </w:r>
      <w:r w:rsidRPr="00DF5067">
        <w:rPr>
          <w:b/>
          <w:bCs/>
          <w:i/>
          <w:iCs/>
          <w:lang w:val="sk-SK"/>
        </w:rPr>
        <w:t>.</w:t>
      </w:r>
      <w:r w:rsidRPr="00DF5067">
        <w:rPr>
          <w:lang w:val="sk-SK"/>
        </w:rPr>
        <w:t>“. V odpovedi na otázku č. 1 verejný obstarávateľ okrem iného uviedol, cit.: „</w:t>
      </w:r>
      <w:r w:rsidRPr="00DF5067">
        <w:rPr>
          <w:i/>
          <w:iCs/>
          <w:lang w:val="sk-SK"/>
        </w:rPr>
        <w:t xml:space="preserve">Národná banka Slovenska ako regulátor finančného trhu okrem iného je národným orgánom dohľadu a plní funkcie v oblasti podpory menovej stability a v spolupráci s ECB a inými inštitúciami, pre ktoré spracúva štatistické údaje (EUROSTAT, OECD.. príp. EBA, ESMA, EIOPA). Tieto jej funkcie upravuje Zákon č. 566/1992 Zb. o Národnej banke Slovenska v § 2, z ktorých povahy činnosti </w:t>
      </w:r>
      <w:r>
        <w:rPr>
          <w:i/>
          <w:iCs/>
          <w:lang w:val="sk-SK"/>
        </w:rPr>
        <w:t xml:space="preserve">                                                     </w:t>
      </w:r>
    </w:p>
    <w:p w14:paraId="7F3FE8A1" w14:textId="41A158E9" w:rsidR="00DF5067" w:rsidRDefault="00DF5067" w:rsidP="00DF5067">
      <w:pPr>
        <w:jc w:val="both"/>
        <w:rPr>
          <w:lang w:val="sk-SK"/>
        </w:rPr>
      </w:pPr>
      <w:r w:rsidRPr="00DF5067">
        <w:rPr>
          <w:i/>
          <w:iCs/>
          <w:lang w:val="sk-SK"/>
        </w:rPr>
        <w:t xml:space="preserve">a zodpovedností sa žiadna nijako nepodobá komerčnej banke, či poisťovni, ale práve inštitúciám, ktoré sú vymenované v požadovaných podmienkach účasti. Svojim obsahom sú podobné aj hlavné procesy a činnosti národných regulátorov aj iných sektorov, preto obstarávateľ upravuje  súťažné podklady v bode 37.1.1.1 a nahradzuje slovné spojenie „regulátora finančného trhu“ slovným spojením „národného regulátora (NRA – National Regulatory Authority) v niektorej z krajín EU“, </w:t>
      </w:r>
      <w:r w:rsidRPr="00DF5067">
        <w:rPr>
          <w:b/>
          <w:bCs/>
          <w:i/>
          <w:iCs/>
          <w:lang w:val="sk-SK"/>
        </w:rPr>
        <w:t>čím sa rozširuje zoznam subjektov, ktorým uchádzač poskytol podobnú službu, o národných regulátorov v jednotlivých sektoroch, ako je napr. energetika, elektronické komunikácie či životné prostredie</w:t>
      </w:r>
      <w:r w:rsidRPr="00DF5067">
        <w:rPr>
          <w:i/>
          <w:iCs/>
          <w:lang w:val="sk-SK"/>
        </w:rPr>
        <w:t>.</w:t>
      </w:r>
      <w:r w:rsidRPr="00DF5067">
        <w:rPr>
          <w:lang w:val="sk-SK"/>
        </w:rPr>
        <w:t>“.</w:t>
      </w:r>
    </w:p>
    <w:p w14:paraId="65DCB7B0" w14:textId="77777777" w:rsidR="00F01AAD" w:rsidRPr="00DF5067" w:rsidRDefault="00F01AAD" w:rsidP="00DF5067">
      <w:pPr>
        <w:jc w:val="both"/>
        <w:rPr>
          <w:i/>
          <w:iCs/>
          <w:lang w:val="sk-SK"/>
        </w:rPr>
      </w:pPr>
    </w:p>
    <w:p w14:paraId="51CC7115" w14:textId="4EF6E75E" w:rsidR="00DF5067" w:rsidRPr="00DF5067" w:rsidRDefault="00DF5067" w:rsidP="00DF5067">
      <w:pPr>
        <w:spacing w:after="60"/>
        <w:jc w:val="both"/>
        <w:rPr>
          <w:b/>
          <w:bCs/>
          <w:u w:val="single"/>
          <w:lang w:val="sk-SK"/>
        </w:rPr>
      </w:pPr>
      <w:r w:rsidRPr="00DF5067">
        <w:rPr>
          <w:b/>
          <w:bCs/>
          <w:u w:val="single"/>
          <w:lang w:val="sk-SK"/>
        </w:rPr>
        <w:t xml:space="preserve">Otázka č. </w:t>
      </w:r>
      <w:r>
        <w:rPr>
          <w:b/>
          <w:bCs/>
          <w:u w:val="single"/>
          <w:lang w:val="sk-SK"/>
        </w:rPr>
        <w:t>6</w:t>
      </w:r>
      <w:r w:rsidRPr="00DF5067">
        <w:rPr>
          <w:b/>
          <w:bCs/>
          <w:u w:val="single"/>
          <w:lang w:val="sk-SK"/>
        </w:rPr>
        <w:t>:</w:t>
      </w:r>
    </w:p>
    <w:p w14:paraId="2B1B1191" w14:textId="6F4450D0" w:rsidR="00DF5067" w:rsidRDefault="00DF5067" w:rsidP="00DF5067">
      <w:pPr>
        <w:jc w:val="both"/>
        <w:rPr>
          <w:lang w:val="sk-SK"/>
        </w:rPr>
      </w:pPr>
      <w:r w:rsidRPr="00DF5067">
        <w:rPr>
          <w:lang w:val="sk-SK"/>
        </w:rPr>
        <w:t xml:space="preserve">Žiadame o upresnenie referenčnej doby, za ktorú sa má predkladať zoznam dodávok poskytnutých služieb, keďže v bode 37.1.1 Súťažných podkladov verejný obstarávateľ uvádza referenčnú dobu </w:t>
      </w:r>
      <w:bookmarkStart w:id="1" w:name="_Hlk76880325"/>
      <w:r w:rsidRPr="00DF5067">
        <w:rPr>
          <w:b/>
          <w:bCs/>
          <w:lang w:val="sk-SK"/>
        </w:rPr>
        <w:t xml:space="preserve">predchádzajúce tri roky </w:t>
      </w:r>
      <w:r w:rsidRPr="00DF5067">
        <w:rPr>
          <w:b/>
          <w:bCs/>
          <w:u w:val="single"/>
          <w:lang w:val="sk-SK"/>
        </w:rPr>
        <w:t>od vyhlásenia verejného obstarávania</w:t>
      </w:r>
      <w:r w:rsidRPr="00DF5067">
        <w:rPr>
          <w:lang w:val="sk-SK"/>
        </w:rPr>
        <w:t xml:space="preserve"> </w:t>
      </w:r>
      <w:bookmarkEnd w:id="1"/>
      <w:r w:rsidRPr="00DF5067">
        <w:rPr>
          <w:lang w:val="sk-SK"/>
        </w:rPr>
        <w:t>a </w:t>
      </w:r>
      <w:bookmarkStart w:id="2" w:name="_Hlk76879917"/>
      <w:r w:rsidRPr="00DF5067">
        <w:rPr>
          <w:lang w:val="sk-SK"/>
        </w:rPr>
        <w:t xml:space="preserve">v bode 37.1.1.1 Súťažných podkladov uvádza referenčnú dobu </w:t>
      </w:r>
      <w:r w:rsidRPr="00DF5067">
        <w:rPr>
          <w:b/>
          <w:bCs/>
          <w:lang w:val="sk-SK"/>
        </w:rPr>
        <w:t xml:space="preserve">za uplynulých 5 rokov </w:t>
      </w:r>
      <w:r w:rsidRPr="00DF5067">
        <w:rPr>
          <w:b/>
          <w:bCs/>
          <w:u w:val="single"/>
          <w:lang w:val="sk-SK"/>
        </w:rPr>
        <w:t>od lehoty na predkladanie ponúk</w:t>
      </w:r>
      <w:r w:rsidRPr="00DF5067">
        <w:rPr>
          <w:lang w:val="sk-SK"/>
        </w:rPr>
        <w:t xml:space="preserve">. </w:t>
      </w:r>
      <w:bookmarkEnd w:id="2"/>
      <w:r w:rsidRPr="00DF5067">
        <w:rPr>
          <w:lang w:val="sk-SK"/>
        </w:rPr>
        <w:t>Je nám známe, že podľa § 34 ods. 2 zákona o verejnom obstarávaní, môžu verejný obstarávateľ a obstarávateľ určiť dlhšiu dobu, ako je doba podľa odseku 1 písm. a) a b) tohto ustanovenia zákona o verejnom obstarávaní, ak je to potrebné na zaistenie primeranej úrovne hospodárskej súťaže, avšak podľa nášho názoru začiatok plynutia referenčnej doby nie je možné upraviť odchylne od zákonnej úpravy. Žiadame verejného obstarávateľa o upresnenie referenčnej doby a jej zosúladenie so zákonom o verejnom obstarávaní.</w:t>
      </w:r>
    </w:p>
    <w:p w14:paraId="2ADD2630" w14:textId="20880046" w:rsidR="00DF5067" w:rsidRDefault="00DF5067" w:rsidP="00DF5067">
      <w:pPr>
        <w:jc w:val="both"/>
        <w:rPr>
          <w:lang w:val="sk-SK"/>
        </w:rPr>
      </w:pPr>
      <w:bookmarkStart w:id="3" w:name="_Hlk76880748"/>
      <w:r w:rsidRPr="00DF5067">
        <w:rPr>
          <w:b/>
          <w:bCs/>
          <w:u w:val="single"/>
          <w:lang w:val="sk-SK"/>
        </w:rPr>
        <w:t>O</w:t>
      </w:r>
      <w:r>
        <w:rPr>
          <w:b/>
          <w:bCs/>
          <w:u w:val="single"/>
          <w:lang w:val="sk-SK"/>
        </w:rPr>
        <w:t>dpoveď:</w:t>
      </w:r>
    </w:p>
    <w:bookmarkEnd w:id="3"/>
    <w:p w14:paraId="762B2328" w14:textId="1B145D57" w:rsidR="00107367" w:rsidRPr="00107367" w:rsidRDefault="007451A2" w:rsidP="00DF5067">
      <w:pPr>
        <w:jc w:val="both"/>
        <w:rPr>
          <w:lang w:val="sk-SK"/>
        </w:rPr>
      </w:pPr>
      <w:r w:rsidRPr="007451A2">
        <w:rPr>
          <w:lang w:val="sk-SK"/>
        </w:rPr>
        <w:t>Verejný obstarávateľ týmto nahradzuje v bode 37.1.1.1 súťažných podkladov text „</w:t>
      </w:r>
      <w:r w:rsidRPr="007451A2">
        <w:rPr>
          <w:i/>
          <w:iCs/>
          <w:lang w:val="sk-SK"/>
        </w:rPr>
        <w:t>za uplynulých 5 rokov od lehoty na predkladanie ponúk</w:t>
      </w:r>
      <w:r w:rsidRPr="007451A2">
        <w:rPr>
          <w:lang w:val="sk-SK"/>
        </w:rPr>
        <w:t>“ za tento text „</w:t>
      </w:r>
      <w:r w:rsidRPr="007451A2">
        <w:rPr>
          <w:i/>
          <w:iCs/>
          <w:lang w:val="sk-SK"/>
        </w:rPr>
        <w:t>za predchádzajúcich päť rokov od vyhlásenia verejného obstarávania</w:t>
      </w:r>
      <w:r w:rsidRPr="007451A2">
        <w:rPr>
          <w:lang w:val="sk-SK"/>
        </w:rPr>
        <w:t>“.</w:t>
      </w:r>
    </w:p>
    <w:p w14:paraId="77901D98" w14:textId="77777777" w:rsidR="007451A2" w:rsidRDefault="007451A2" w:rsidP="00DF5067">
      <w:pPr>
        <w:spacing w:after="60"/>
        <w:jc w:val="both"/>
        <w:rPr>
          <w:b/>
          <w:bCs/>
          <w:u w:val="single"/>
          <w:lang w:val="sk-SK"/>
        </w:rPr>
      </w:pPr>
      <w:bookmarkStart w:id="4" w:name="_Hlk76879757"/>
    </w:p>
    <w:p w14:paraId="487DA079" w14:textId="774D9D15" w:rsidR="00DF5067" w:rsidRPr="00DF5067" w:rsidRDefault="00DF5067" w:rsidP="00DF5067">
      <w:pPr>
        <w:spacing w:after="60"/>
        <w:jc w:val="both"/>
        <w:rPr>
          <w:b/>
          <w:bCs/>
          <w:u w:val="single"/>
          <w:lang w:val="sk-SK"/>
        </w:rPr>
      </w:pPr>
      <w:r w:rsidRPr="00DF5067">
        <w:rPr>
          <w:b/>
          <w:bCs/>
          <w:u w:val="single"/>
          <w:lang w:val="sk-SK"/>
        </w:rPr>
        <w:t xml:space="preserve">Otázka č. </w:t>
      </w:r>
      <w:r>
        <w:rPr>
          <w:b/>
          <w:bCs/>
          <w:u w:val="single"/>
          <w:lang w:val="sk-SK"/>
        </w:rPr>
        <w:t>7</w:t>
      </w:r>
      <w:bookmarkEnd w:id="4"/>
      <w:r w:rsidRPr="00DF5067">
        <w:rPr>
          <w:b/>
          <w:bCs/>
          <w:u w:val="single"/>
          <w:lang w:val="sk-SK"/>
        </w:rPr>
        <w:t>:</w:t>
      </w:r>
    </w:p>
    <w:p w14:paraId="16820FA9" w14:textId="0F8FC21C" w:rsidR="00DF5067" w:rsidRDefault="00DF5067" w:rsidP="00DF5067">
      <w:pPr>
        <w:jc w:val="both"/>
        <w:rPr>
          <w:lang w:val="sk-SK"/>
        </w:rPr>
      </w:pPr>
      <w:r w:rsidRPr="00DF5067">
        <w:rPr>
          <w:lang w:val="sk-SK"/>
        </w:rPr>
        <w:t>Vzhľadom na úpravu bodu 37.1.1.1 Súťažných podkladov žiadame verejného obstarávateľa o zodpovedanie otázky, či za národného regulátora bude považovať aj subjekty štátnej správy, akou sú orgány finančnej správy, napr. Finančné riaditeľstvo SR, Generální rediteľství cel (ČR).</w:t>
      </w:r>
    </w:p>
    <w:p w14:paraId="5A805EF7" w14:textId="77777777" w:rsidR="00F01AAD" w:rsidRDefault="00F01AAD" w:rsidP="00F01AAD">
      <w:pPr>
        <w:jc w:val="both"/>
        <w:rPr>
          <w:lang w:val="sk-SK"/>
        </w:rPr>
      </w:pPr>
      <w:r w:rsidRPr="00DF5067">
        <w:rPr>
          <w:b/>
          <w:bCs/>
          <w:u w:val="single"/>
          <w:lang w:val="sk-SK"/>
        </w:rPr>
        <w:t>O</w:t>
      </w:r>
      <w:r>
        <w:rPr>
          <w:b/>
          <w:bCs/>
          <w:u w:val="single"/>
          <w:lang w:val="sk-SK"/>
        </w:rPr>
        <w:t>dpoveď:</w:t>
      </w:r>
    </w:p>
    <w:p w14:paraId="07F995E9" w14:textId="47CB70C1" w:rsidR="00F01AAD" w:rsidRDefault="007451A2" w:rsidP="00DF5067">
      <w:pPr>
        <w:jc w:val="both"/>
        <w:rPr>
          <w:lang w:val="sk-SK"/>
        </w:rPr>
      </w:pPr>
      <w:r w:rsidRPr="007451A2">
        <w:rPr>
          <w:lang w:val="sk-SK"/>
        </w:rPr>
        <w:t xml:space="preserve">Verejný obstarávateľ v bode 37.1.1.1 umožňuje predloženie referencie aj od národného regulátora. Nakoľko postavenie a rozsah právomoci regulovať a / alebo monitorovať nejaký </w:t>
      </w:r>
      <w:r w:rsidRPr="007451A2">
        <w:rPr>
          <w:lang w:val="sk-SK"/>
        </w:rPr>
        <w:lastRenderedPageBreak/>
        <w:t>konkrétny sektor ekonomiky sú dané národnému regulátorovi odpovedajúcim zákonom, vie potenciálny uchádzač prostredníctvom verejne dostupných informácií jednoznačne posúdiť, či predmetný subjekt je národný regulátor.</w:t>
      </w:r>
    </w:p>
    <w:p w14:paraId="5A8E1A94" w14:textId="189E89B8" w:rsidR="00F01AAD" w:rsidRDefault="00F01AAD" w:rsidP="00DF5067">
      <w:pPr>
        <w:jc w:val="both"/>
        <w:rPr>
          <w:lang w:val="sk-SK"/>
        </w:rPr>
      </w:pPr>
    </w:p>
    <w:p w14:paraId="169F87BC" w14:textId="08D16512" w:rsidR="00DF5067" w:rsidRPr="00DF5067" w:rsidRDefault="00DF5067" w:rsidP="00DF5067">
      <w:pPr>
        <w:spacing w:after="60"/>
        <w:jc w:val="both"/>
        <w:rPr>
          <w:b/>
          <w:bCs/>
          <w:u w:val="single"/>
          <w:lang w:val="sk-SK"/>
        </w:rPr>
      </w:pPr>
      <w:r w:rsidRPr="00DF5067">
        <w:rPr>
          <w:b/>
          <w:bCs/>
          <w:u w:val="single"/>
          <w:lang w:val="sk-SK"/>
        </w:rPr>
        <w:t xml:space="preserve">Otázka č. </w:t>
      </w:r>
      <w:r>
        <w:rPr>
          <w:b/>
          <w:bCs/>
          <w:u w:val="single"/>
          <w:lang w:val="sk-SK"/>
        </w:rPr>
        <w:t>8</w:t>
      </w:r>
      <w:r w:rsidRPr="00DF5067">
        <w:rPr>
          <w:b/>
          <w:bCs/>
          <w:u w:val="single"/>
          <w:lang w:val="sk-SK"/>
        </w:rPr>
        <w:t>:</w:t>
      </w:r>
    </w:p>
    <w:p w14:paraId="0126F9C3" w14:textId="57CA2756" w:rsidR="00DF5067" w:rsidRPr="00DF5067" w:rsidRDefault="00DF5067" w:rsidP="00DF5067">
      <w:pPr>
        <w:spacing w:after="60"/>
        <w:jc w:val="both"/>
        <w:rPr>
          <w:lang w:val="sk-SK"/>
        </w:rPr>
      </w:pPr>
      <w:r w:rsidRPr="00DF5067">
        <w:rPr>
          <w:lang w:val="sk-SK"/>
        </w:rPr>
        <w:t xml:space="preserve">Je možné považovať dodávku komplexného DWH za ekvivalent predmetu zákazky </w:t>
      </w:r>
      <w:r w:rsidR="007451A2">
        <w:rPr>
          <w:lang w:val="sk-SK"/>
        </w:rPr>
        <w:br/>
      </w:r>
      <w:r w:rsidRPr="00DF5067">
        <w:rPr>
          <w:lang w:val="sk-SK"/>
        </w:rPr>
        <w:t xml:space="preserve">v požiadavkách NBS, pretože súčasťou dodávky komplexného DWH je vždy aj </w:t>
      </w:r>
      <w:bookmarkStart w:id="5" w:name="_Hlk76651951"/>
      <w:r w:rsidRPr="00DF5067">
        <w:rPr>
          <w:lang w:val="sk-SK"/>
        </w:rPr>
        <w:t xml:space="preserve">návrh celkovej stratégie organizácie pre oblasť dát, vrátane návrhu strategických priorít v oblasti dát, identifikácia bariér a možností ich prekonania, návrhov konkrétnych projektov potrebných pre úspešnú implementáciu navrhovanej stratégie vrátane komplexného procesného modelu </w:t>
      </w:r>
      <w:r w:rsidR="007451A2">
        <w:rPr>
          <w:lang w:val="sk-SK"/>
        </w:rPr>
        <w:br/>
      </w:r>
      <w:r w:rsidRPr="00DF5067">
        <w:rPr>
          <w:lang w:val="sk-SK"/>
        </w:rPr>
        <w:t>a návrhu technického riešenia</w:t>
      </w:r>
      <w:bookmarkEnd w:id="5"/>
      <w:r w:rsidRPr="00DF5067">
        <w:rPr>
          <w:lang w:val="sk-SK"/>
        </w:rPr>
        <w:t>?</w:t>
      </w:r>
    </w:p>
    <w:p w14:paraId="38330546" w14:textId="77777777" w:rsidR="00F01AAD" w:rsidRDefault="00F01AAD" w:rsidP="00F01AAD">
      <w:pPr>
        <w:jc w:val="both"/>
        <w:rPr>
          <w:lang w:val="sk-SK"/>
        </w:rPr>
      </w:pPr>
      <w:r w:rsidRPr="00DF5067">
        <w:rPr>
          <w:b/>
          <w:bCs/>
          <w:u w:val="single"/>
          <w:lang w:val="sk-SK"/>
        </w:rPr>
        <w:t>O</w:t>
      </w:r>
      <w:r>
        <w:rPr>
          <w:b/>
          <w:bCs/>
          <w:u w:val="single"/>
          <w:lang w:val="sk-SK"/>
        </w:rPr>
        <w:t>dpoveď:</w:t>
      </w:r>
    </w:p>
    <w:p w14:paraId="599C8E62" w14:textId="0FE19CFF" w:rsidR="00F01AAD" w:rsidRDefault="007451A2" w:rsidP="00DF5067">
      <w:pPr>
        <w:spacing w:after="60"/>
        <w:jc w:val="both"/>
        <w:rPr>
          <w:lang w:val="sk-SK"/>
        </w:rPr>
      </w:pPr>
      <w:r w:rsidRPr="007451A2">
        <w:rPr>
          <w:lang w:val="sk-SK"/>
        </w:rPr>
        <w:t xml:space="preserve">Splnenie technických a odborných podmienok účasti môže uchádzač preukázať aj zoznamom dodávok väčšieho (celkového) projektu, pokiaľ bude možné v tejto zmluve o celkovej dodávke (príp. referencii) presne určiť, že  súčasťou tejto dodávky bolo aj dodanie služieb uvedených </w:t>
      </w:r>
      <w:r>
        <w:rPr>
          <w:lang w:val="sk-SK"/>
        </w:rPr>
        <w:br/>
      </w:r>
      <w:r w:rsidRPr="007451A2">
        <w:rPr>
          <w:lang w:val="sk-SK"/>
        </w:rPr>
        <w:t>v časti 37.1.1.1 v požadovanom finančnom a časovom limite, ktoré sú tam uvedené. V prípade, že v rámci predložených referencií boli poskytované aj iné služby ako tie, ktoré sú predmetom zákazky, musí byť z dokladu pre objektívne posúdenie splnenia podmienok účasti zrejmá hodnota poskytnutých služieb, ktoré sú predmetom zákazky.</w:t>
      </w:r>
    </w:p>
    <w:p w14:paraId="5D50A240" w14:textId="77777777" w:rsidR="007451A2" w:rsidRPr="007451A2" w:rsidRDefault="007451A2" w:rsidP="00DF5067">
      <w:pPr>
        <w:spacing w:after="60"/>
        <w:jc w:val="both"/>
        <w:rPr>
          <w:lang w:val="sk-SK"/>
        </w:rPr>
      </w:pPr>
    </w:p>
    <w:p w14:paraId="4F4865BC" w14:textId="660F3997" w:rsidR="00DF5067" w:rsidRPr="00DF5067" w:rsidRDefault="00DF5067" w:rsidP="00DF5067">
      <w:pPr>
        <w:spacing w:after="60"/>
        <w:jc w:val="both"/>
        <w:rPr>
          <w:b/>
          <w:bCs/>
          <w:u w:val="single"/>
          <w:lang w:val="sk-SK"/>
        </w:rPr>
      </w:pPr>
      <w:r w:rsidRPr="00DF5067">
        <w:rPr>
          <w:b/>
          <w:bCs/>
          <w:u w:val="single"/>
          <w:lang w:val="sk-SK"/>
        </w:rPr>
        <w:t xml:space="preserve">Otázka č. </w:t>
      </w:r>
      <w:r>
        <w:rPr>
          <w:b/>
          <w:bCs/>
          <w:u w:val="single"/>
          <w:lang w:val="sk-SK"/>
        </w:rPr>
        <w:t>9</w:t>
      </w:r>
      <w:r w:rsidRPr="00DF5067">
        <w:rPr>
          <w:b/>
          <w:bCs/>
          <w:u w:val="single"/>
          <w:lang w:val="sk-SK"/>
        </w:rPr>
        <w:t>:</w:t>
      </w:r>
    </w:p>
    <w:p w14:paraId="2773CA78" w14:textId="31CB2430" w:rsidR="00DF5067" w:rsidRPr="00DF5067" w:rsidRDefault="00DF5067" w:rsidP="00DF5067">
      <w:pPr>
        <w:spacing w:after="60"/>
        <w:jc w:val="both"/>
        <w:rPr>
          <w:lang w:val="sk-SK"/>
        </w:rPr>
      </w:pPr>
      <w:r w:rsidRPr="00DF5067">
        <w:rPr>
          <w:lang w:val="sk-SK"/>
        </w:rPr>
        <w:t xml:space="preserve">Je možné považovať za relevantný subjekt z pohľadu referencie aj subjekt, ktorý je priamo regulovaný zo strany NBS, pokiaľ predmet dodávky priamo súvisel s prípravou dát a ich poskytovaním pre NBS, pretože takýto subjekt má povinnosť pravidelne reportovať </w:t>
      </w:r>
      <w:r w:rsidR="007451A2">
        <w:rPr>
          <w:lang w:val="sk-SK"/>
        </w:rPr>
        <w:br/>
      </w:r>
      <w:r w:rsidRPr="00DF5067">
        <w:rPr>
          <w:lang w:val="sk-SK"/>
        </w:rPr>
        <w:t>a poskytovať dáta a informácie pre NBS, je tak jedným zo základných zdrojov dát pre NBS ako regulátora a poznanie týchto dát, dátových integrácií a podkladových systémov pripravujúcich dáta pre NBS je jedným zo základných stavebných kameňov pre efektívnu prípravu dátovej stratégie NBS.</w:t>
      </w:r>
    </w:p>
    <w:p w14:paraId="67946151" w14:textId="796D5341" w:rsidR="00F01AAD" w:rsidRDefault="00F01AAD" w:rsidP="00F01AAD">
      <w:pPr>
        <w:jc w:val="both"/>
        <w:rPr>
          <w:b/>
          <w:bCs/>
          <w:u w:val="single"/>
          <w:lang w:val="sk-SK"/>
        </w:rPr>
      </w:pPr>
      <w:r w:rsidRPr="00DF5067">
        <w:rPr>
          <w:b/>
          <w:bCs/>
          <w:u w:val="single"/>
          <w:lang w:val="sk-SK"/>
        </w:rPr>
        <w:t>O</w:t>
      </w:r>
      <w:r>
        <w:rPr>
          <w:b/>
          <w:bCs/>
          <w:u w:val="single"/>
          <w:lang w:val="sk-SK"/>
        </w:rPr>
        <w:t>dpoveď:</w:t>
      </w:r>
    </w:p>
    <w:p w14:paraId="67F5A18D" w14:textId="28D20504" w:rsidR="007451A2" w:rsidRPr="007451A2" w:rsidRDefault="007451A2" w:rsidP="007451A2">
      <w:pPr>
        <w:jc w:val="both"/>
        <w:rPr>
          <w:lang w:val="sk-SK"/>
        </w:rPr>
      </w:pPr>
      <w:r w:rsidRPr="007451A2">
        <w:rPr>
          <w:lang w:val="sk-SK"/>
        </w:rPr>
        <w:t xml:space="preserve">V článku 37.1.1.1 súťažných podkladov verejný obstarávateľ </w:t>
      </w:r>
      <w:r w:rsidRPr="007451A2">
        <w:rPr>
          <w:b/>
          <w:bCs/>
          <w:lang w:val="sk-SK"/>
        </w:rPr>
        <w:t>explicitne stanovil subjekty</w:t>
      </w:r>
      <w:r w:rsidRPr="007451A2">
        <w:rPr>
          <w:lang w:val="sk-SK"/>
        </w:rPr>
        <w:t xml:space="preserve">, ktorých referencie akceptuje o.i. „...jeden z týchto projektov musí byť minimálne v hodnote 150 000,- eur bez DPH a realizovaný </w:t>
      </w:r>
      <w:r w:rsidRPr="007451A2">
        <w:rPr>
          <w:b/>
          <w:bCs/>
          <w:lang w:val="sk-SK"/>
        </w:rPr>
        <w:t xml:space="preserve">pre centrálnu banku, národného regulátora (NRA) v niektorej z krajín EU, európsky orgán dohľadu alebo štatistický úrad v niektorej </w:t>
      </w:r>
      <w:r>
        <w:rPr>
          <w:b/>
          <w:bCs/>
          <w:lang w:val="sk-SK"/>
        </w:rPr>
        <w:br/>
      </w:r>
      <w:r w:rsidRPr="007451A2">
        <w:rPr>
          <w:b/>
          <w:bCs/>
          <w:lang w:val="sk-SK"/>
        </w:rPr>
        <w:t>z krajín EU</w:t>
      </w:r>
      <w:r w:rsidRPr="007451A2">
        <w:rPr>
          <w:lang w:val="sk-SK"/>
        </w:rPr>
        <w:t>.“. Verejný obstarávateľ sa bude predmetnou otázkou zaoberať v prípade predloženia referencie priamo regulovaným subjektom zo strany NBS pri vyhodnotení splnenia podmienok účasti uchádzačov podľa bodu 27.1 súťažných podkladov.</w:t>
      </w:r>
    </w:p>
    <w:p w14:paraId="721FD4EE" w14:textId="77777777" w:rsidR="007451A2" w:rsidRPr="007451A2" w:rsidRDefault="007451A2" w:rsidP="00F01AAD">
      <w:pPr>
        <w:jc w:val="both"/>
        <w:rPr>
          <w:lang w:val="sk-SK"/>
        </w:rPr>
      </w:pPr>
    </w:p>
    <w:p w14:paraId="202B357D" w14:textId="77777777" w:rsidR="00DF5067" w:rsidRPr="00DF5067" w:rsidRDefault="00DF5067" w:rsidP="00DF5067">
      <w:pPr>
        <w:jc w:val="both"/>
        <w:rPr>
          <w:lang w:val="sk-SK"/>
        </w:rPr>
      </w:pPr>
    </w:p>
    <w:p w14:paraId="75F0DA29" w14:textId="77777777" w:rsidR="00C44A15" w:rsidRPr="00DF5067" w:rsidRDefault="00C44A15" w:rsidP="00200C4A">
      <w:pPr>
        <w:rPr>
          <w:rFonts w:ascii="Cambria" w:hAnsi="Cambria"/>
          <w:sz w:val="22"/>
          <w:szCs w:val="22"/>
          <w:lang w:val="sk-SK"/>
        </w:rPr>
      </w:pPr>
    </w:p>
    <w:p w14:paraId="3FB7506E" w14:textId="77777777" w:rsidR="00BE76E8" w:rsidRPr="00DF5067" w:rsidRDefault="00BE76E8" w:rsidP="00BE76E8">
      <w:pPr>
        <w:rPr>
          <w:rFonts w:ascii="Cambria" w:hAnsi="Cambria"/>
          <w:sz w:val="22"/>
          <w:szCs w:val="22"/>
          <w:lang w:val="sk-SK"/>
        </w:rPr>
      </w:pPr>
      <w:r w:rsidRPr="00DF5067">
        <w:rPr>
          <w:rFonts w:ascii="Cambria" w:hAnsi="Cambria"/>
          <w:sz w:val="22"/>
          <w:szCs w:val="22"/>
          <w:lang w:val="sk-SK"/>
        </w:rPr>
        <w:t>Ing. Jaroslav Mikla</w:t>
      </w:r>
    </w:p>
    <w:p w14:paraId="4B40574A" w14:textId="5FEB484F" w:rsidR="00BE76E8" w:rsidRPr="00DF5067" w:rsidRDefault="00BE76E8" w:rsidP="00BE76E8">
      <w:pPr>
        <w:rPr>
          <w:rFonts w:ascii="Cambria" w:hAnsi="Cambria"/>
          <w:sz w:val="22"/>
          <w:szCs w:val="22"/>
          <w:lang w:val="sk-SK"/>
        </w:rPr>
      </w:pPr>
      <w:r w:rsidRPr="00DF5067">
        <w:rPr>
          <w:rFonts w:ascii="Cambria" w:hAnsi="Cambria"/>
          <w:sz w:val="22"/>
          <w:szCs w:val="22"/>
          <w:lang w:val="sk-SK"/>
        </w:rPr>
        <w:t>Výkonný riaditeľ úseku finančného riadenia a informačných technológií,</w:t>
      </w:r>
    </w:p>
    <w:p w14:paraId="1E6854B9" w14:textId="4BB13DAE" w:rsidR="007D63B5" w:rsidRPr="00DF5067" w:rsidRDefault="00BE76E8" w:rsidP="00BE76E8">
      <w:pPr>
        <w:rPr>
          <w:rFonts w:ascii="Cambria" w:hAnsi="Cambria"/>
          <w:sz w:val="22"/>
          <w:szCs w:val="22"/>
          <w:lang w:val="sk-SK"/>
        </w:rPr>
      </w:pPr>
      <w:r w:rsidRPr="00DF5067">
        <w:rPr>
          <w:rFonts w:ascii="Cambria" w:hAnsi="Cambria"/>
          <w:sz w:val="22"/>
          <w:szCs w:val="22"/>
          <w:lang w:val="sk-SK"/>
        </w:rPr>
        <w:t>dočasne poverený riadením úseku hospodárskych služieb a</w:t>
      </w:r>
      <w:r w:rsidR="00AF1144" w:rsidRPr="00DF5067">
        <w:rPr>
          <w:rFonts w:ascii="Cambria" w:hAnsi="Cambria"/>
          <w:sz w:val="22"/>
          <w:szCs w:val="22"/>
          <w:lang w:val="sk-SK"/>
        </w:rPr>
        <w:t> </w:t>
      </w:r>
      <w:r w:rsidRPr="00DF5067">
        <w:rPr>
          <w:rFonts w:ascii="Cambria" w:hAnsi="Cambria"/>
          <w:sz w:val="22"/>
          <w:szCs w:val="22"/>
          <w:lang w:val="sk-SK"/>
        </w:rPr>
        <w:t>bezpečnosti</w:t>
      </w:r>
    </w:p>
    <w:p w14:paraId="41B889DA" w14:textId="69982209" w:rsidR="00AF1144" w:rsidRPr="00DF5067" w:rsidRDefault="00AF1144" w:rsidP="00BE76E8">
      <w:pPr>
        <w:rPr>
          <w:rFonts w:ascii="Cambria" w:hAnsi="Cambria"/>
          <w:sz w:val="22"/>
          <w:szCs w:val="22"/>
          <w:lang w:val="sk-SK"/>
        </w:rPr>
      </w:pPr>
    </w:p>
    <w:p w14:paraId="0C5EADB5" w14:textId="77777777" w:rsidR="00AF1144" w:rsidRPr="00DF5067" w:rsidRDefault="00AF1144" w:rsidP="00BE76E8">
      <w:pPr>
        <w:rPr>
          <w:rFonts w:ascii="Cambria" w:hAnsi="Cambria"/>
          <w:sz w:val="22"/>
          <w:szCs w:val="22"/>
          <w:lang w:val="sk-SK"/>
        </w:rPr>
      </w:pPr>
    </w:p>
    <w:sectPr w:rsidR="00AF1144" w:rsidRPr="00DF5067" w:rsidSect="00200C4A">
      <w:headerReference w:type="default" r:id="rId11"/>
      <w:footerReference w:type="even"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4C60E" w14:textId="77777777" w:rsidR="00C15CDB" w:rsidRDefault="00C15CDB">
      <w:r>
        <w:separator/>
      </w:r>
    </w:p>
  </w:endnote>
  <w:endnote w:type="continuationSeparator" w:id="0">
    <w:p w14:paraId="4A2CB2AA" w14:textId="77777777" w:rsidR="00C15CDB" w:rsidRDefault="00C1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6643D" w14:textId="77777777" w:rsidR="00192754" w:rsidRDefault="00192754" w:rsidP="00BD74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0D3D">
      <w:rPr>
        <w:rStyle w:val="PageNumber"/>
        <w:noProof/>
      </w:rPr>
      <w:t>2</w:t>
    </w:r>
    <w:r>
      <w:rPr>
        <w:rStyle w:val="PageNumber"/>
      </w:rPr>
      <w:fldChar w:fldCharType="end"/>
    </w:r>
  </w:p>
  <w:p w14:paraId="15C04D35" w14:textId="77777777" w:rsidR="00192754" w:rsidRDefault="0019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475E0" w14:textId="77777777" w:rsidR="00E80FBB" w:rsidRDefault="00E80FBB">
    <w:pPr>
      <w:pStyle w:val="Footer"/>
      <w:jc w:val="center"/>
    </w:pPr>
    <w:r>
      <w:fldChar w:fldCharType="begin"/>
    </w:r>
    <w:r>
      <w:instrText xml:space="preserve"> PAGE   \* MERGEFORMAT </w:instrText>
    </w:r>
    <w:r>
      <w:fldChar w:fldCharType="separate"/>
    </w:r>
    <w:r w:rsidR="0085010A">
      <w:rPr>
        <w:noProof/>
      </w:rPr>
      <w:t>2</w:t>
    </w:r>
    <w:r>
      <w:rPr>
        <w:noProof/>
      </w:rPr>
      <w:fldChar w:fldCharType="end"/>
    </w:r>
  </w:p>
  <w:p w14:paraId="45EAC8A0" w14:textId="77777777" w:rsidR="00E80FBB" w:rsidRDefault="00E80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47ABF" w14:textId="77777777" w:rsidR="00C15CDB" w:rsidRDefault="00C15CDB">
      <w:r>
        <w:separator/>
      </w:r>
    </w:p>
  </w:footnote>
  <w:footnote w:type="continuationSeparator" w:id="0">
    <w:p w14:paraId="56723D7D" w14:textId="77777777" w:rsidR="00C15CDB" w:rsidRDefault="00C1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CFFD" w14:textId="77777777" w:rsidR="001F5567" w:rsidRDefault="001F5567" w:rsidP="001F556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F3BFE" w14:textId="77777777" w:rsidR="00EE0D3D" w:rsidRDefault="004E391F" w:rsidP="00F34EED">
    <w:pPr>
      <w:pStyle w:val="Header"/>
      <w:jc w:val="center"/>
    </w:pPr>
    <w:r>
      <w:rPr>
        <w:noProof/>
        <w:lang w:val="sk-SK" w:eastAsia="sk-SK"/>
      </w:rPr>
      <w:drawing>
        <wp:inline distT="0" distB="0" distL="0" distR="0" wp14:anchorId="4079119D" wp14:editId="7FA586AD">
          <wp:extent cx="1803400" cy="712470"/>
          <wp:effectExtent l="0" t="0" r="6350" b="0"/>
          <wp:docPr id="4" name="Picture 4" descr="K:\DIZAJN MANUÁL NBS_SCHVÁLENÝ_2019\Základný Dizajn manuál NBS_FINAL_2018\LOGOTYP\01 - SK\01 - w EUROSYSTEM\01- BLUE\02 - RGB\PNG\LOGO-NBS-EUROSYSTEM-SK-A-BLUE-RGB.png"/>
          <wp:cNvGraphicFramePr/>
          <a:graphic xmlns:a="http://schemas.openxmlformats.org/drawingml/2006/main">
            <a:graphicData uri="http://schemas.openxmlformats.org/drawingml/2006/picture">
              <pic:pic xmlns:pic="http://schemas.openxmlformats.org/drawingml/2006/picture">
                <pic:nvPicPr>
                  <pic:cNvPr id="4" name="Picture 4" descr="K:\DIZAJN MANUÁL NBS_SCHVÁLENÝ_2019\Základný Dizajn manuál NBS_FINAL_2018\LOGOTYP\01 - SK\01 - w EUROSYSTEM\01- BLUE\02 - RGB\PNG\LOGO-NBS-EUROSYSTEM-SK-A-BLUE-RGB.png"/>
                  <pic:cNvPicPr/>
                </pic:nvPicPr>
                <pic:blipFill rotWithShape="1">
                  <a:blip r:embed="rId1" cstate="print">
                    <a:extLst>
                      <a:ext uri="{28A0092B-C50C-407E-A947-70E740481C1C}">
                        <a14:useLocalDpi xmlns:a14="http://schemas.microsoft.com/office/drawing/2010/main" val="0"/>
                      </a:ext>
                    </a:extLst>
                  </a:blip>
                  <a:srcRect l="4298" t="10265" r="5407" b="9487"/>
                  <a:stretch/>
                </pic:blipFill>
                <pic:spPr bwMode="auto">
                  <a:xfrm>
                    <a:off x="0" y="0"/>
                    <a:ext cx="1803400" cy="7124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4CD7"/>
    <w:multiLevelType w:val="hybridMultilevel"/>
    <w:tmpl w:val="11B6B7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956B98"/>
    <w:multiLevelType w:val="hybridMultilevel"/>
    <w:tmpl w:val="01B00FFA"/>
    <w:lvl w:ilvl="0" w:tplc="7BF03650">
      <w:start w:val="7"/>
      <w:numFmt w:val="bullet"/>
      <w:lvlText w:val="-"/>
      <w:lvlJc w:val="left"/>
      <w:pPr>
        <w:ind w:left="644" w:hanging="360"/>
      </w:pPr>
      <w:rPr>
        <w:rFonts w:ascii="Calibri" w:eastAsia="Calibri" w:hAnsi="Calibri"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 w15:restartNumberingAfterBreak="0">
    <w:nsid w:val="39A663C0"/>
    <w:multiLevelType w:val="multilevel"/>
    <w:tmpl w:val="3196C390"/>
    <w:lvl w:ilvl="0">
      <w:start w:val="1"/>
      <w:numFmt w:val="decimal"/>
      <w:lvlText w:val="%1"/>
      <w:lvlJc w:val="left"/>
      <w:pPr>
        <w:tabs>
          <w:tab w:val="num" w:pos="972"/>
        </w:tabs>
        <w:ind w:left="972" w:hanging="432"/>
      </w:pPr>
      <w:rPr>
        <w:sz w:val="20"/>
        <w:szCs w:val="20"/>
      </w:rPr>
    </w:lvl>
    <w:lvl w:ilvl="1">
      <w:start w:val="1"/>
      <w:numFmt w:val="decimal"/>
      <w:lvlText w:val="%1.%2"/>
      <w:lvlJc w:val="left"/>
      <w:pPr>
        <w:tabs>
          <w:tab w:val="num" w:pos="576"/>
        </w:tabs>
        <w:ind w:left="576" w:hanging="576"/>
      </w:pPr>
      <w:rPr>
        <w:rFonts w:ascii="Arial Narrow" w:hAnsi="Arial Narrow" w:hint="default"/>
        <w:b w:val="0"/>
        <w:bCs w:val="0"/>
        <w:i w:val="0"/>
        <w:iCs w:val="0"/>
        <w:color w:val="auto"/>
        <w:sz w:val="20"/>
        <w:szCs w:val="20"/>
      </w:rPr>
    </w:lvl>
    <w:lvl w:ilvl="2">
      <w:start w:val="1"/>
      <w:numFmt w:val="decimal"/>
      <w:lvlText w:val="%1.%2.%3"/>
      <w:lvlJc w:val="left"/>
      <w:pPr>
        <w:tabs>
          <w:tab w:val="num" w:pos="1260"/>
        </w:tabs>
        <w:ind w:left="1260" w:hanging="720"/>
      </w:pPr>
      <w:rPr>
        <w:rFonts w:ascii="Arial Narrow" w:hAnsi="Arial Narrow" w:cs="Arial Narrow" w:hint="default"/>
        <w:b w:val="0"/>
        <w:i w:val="0"/>
        <w:iCs w:val="0"/>
        <w:color w:val="auto"/>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FE250E0"/>
    <w:multiLevelType w:val="hybridMultilevel"/>
    <w:tmpl w:val="12521BE6"/>
    <w:lvl w:ilvl="0" w:tplc="E2E2B3B8">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6021166E"/>
    <w:multiLevelType w:val="hybridMultilevel"/>
    <w:tmpl w:val="CBBEEECC"/>
    <w:lvl w:ilvl="0" w:tplc="3C6456D6">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9DC32DB"/>
    <w:multiLevelType w:val="hybridMultilevel"/>
    <w:tmpl w:val="ACB8B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02"/>
    <w:rsid w:val="00011566"/>
    <w:rsid w:val="000121BB"/>
    <w:rsid w:val="00015556"/>
    <w:rsid w:val="000166E0"/>
    <w:rsid w:val="00030550"/>
    <w:rsid w:val="00032F59"/>
    <w:rsid w:val="00045091"/>
    <w:rsid w:val="00050FBB"/>
    <w:rsid w:val="00052C3E"/>
    <w:rsid w:val="00052C97"/>
    <w:rsid w:val="000558D5"/>
    <w:rsid w:val="00055F69"/>
    <w:rsid w:val="0008478A"/>
    <w:rsid w:val="00085C6E"/>
    <w:rsid w:val="00086A04"/>
    <w:rsid w:val="00087925"/>
    <w:rsid w:val="000A4DB3"/>
    <w:rsid w:val="000A6C16"/>
    <w:rsid w:val="000B2D66"/>
    <w:rsid w:val="000B3281"/>
    <w:rsid w:val="000C54E5"/>
    <w:rsid w:val="000C56EA"/>
    <w:rsid w:val="000C602C"/>
    <w:rsid w:val="000D00B9"/>
    <w:rsid w:val="000D6E7E"/>
    <w:rsid w:val="000D7A51"/>
    <w:rsid w:val="000E3C30"/>
    <w:rsid w:val="000F00E7"/>
    <w:rsid w:val="000F674C"/>
    <w:rsid w:val="00107367"/>
    <w:rsid w:val="001129A5"/>
    <w:rsid w:val="00125FC1"/>
    <w:rsid w:val="00136858"/>
    <w:rsid w:val="0014055F"/>
    <w:rsid w:val="00150181"/>
    <w:rsid w:val="0015182D"/>
    <w:rsid w:val="00152DBE"/>
    <w:rsid w:val="00192754"/>
    <w:rsid w:val="001A03F4"/>
    <w:rsid w:val="001B469A"/>
    <w:rsid w:val="001E06B9"/>
    <w:rsid w:val="001E2E02"/>
    <w:rsid w:val="001F48BE"/>
    <w:rsid w:val="001F5339"/>
    <w:rsid w:val="001F5567"/>
    <w:rsid w:val="00200C4A"/>
    <w:rsid w:val="00224A7B"/>
    <w:rsid w:val="0023210A"/>
    <w:rsid w:val="0025232E"/>
    <w:rsid w:val="00253DAC"/>
    <w:rsid w:val="002712F0"/>
    <w:rsid w:val="00277A53"/>
    <w:rsid w:val="00277FCE"/>
    <w:rsid w:val="002838B5"/>
    <w:rsid w:val="0028799D"/>
    <w:rsid w:val="002909ED"/>
    <w:rsid w:val="00294EBE"/>
    <w:rsid w:val="002978A1"/>
    <w:rsid w:val="002A188A"/>
    <w:rsid w:val="002C416E"/>
    <w:rsid w:val="002C562C"/>
    <w:rsid w:val="002C77F2"/>
    <w:rsid w:val="002D101D"/>
    <w:rsid w:val="002D543C"/>
    <w:rsid w:val="002E3524"/>
    <w:rsid w:val="003036AC"/>
    <w:rsid w:val="00307026"/>
    <w:rsid w:val="00342B56"/>
    <w:rsid w:val="00344EB6"/>
    <w:rsid w:val="00366246"/>
    <w:rsid w:val="0036766B"/>
    <w:rsid w:val="00382FFB"/>
    <w:rsid w:val="00392BA6"/>
    <w:rsid w:val="00395FAF"/>
    <w:rsid w:val="003A0C09"/>
    <w:rsid w:val="003A34ED"/>
    <w:rsid w:val="003B0800"/>
    <w:rsid w:val="003B5A48"/>
    <w:rsid w:val="003C099F"/>
    <w:rsid w:val="003D06D1"/>
    <w:rsid w:val="003D4383"/>
    <w:rsid w:val="003D55C0"/>
    <w:rsid w:val="003F00ED"/>
    <w:rsid w:val="003F5E9A"/>
    <w:rsid w:val="003F6DDC"/>
    <w:rsid w:val="00424A9C"/>
    <w:rsid w:val="00431E57"/>
    <w:rsid w:val="004500E0"/>
    <w:rsid w:val="0046603D"/>
    <w:rsid w:val="004740CC"/>
    <w:rsid w:val="00476A66"/>
    <w:rsid w:val="004820EC"/>
    <w:rsid w:val="004865D1"/>
    <w:rsid w:val="00496562"/>
    <w:rsid w:val="004B6C8C"/>
    <w:rsid w:val="004C0A3A"/>
    <w:rsid w:val="004C6FA7"/>
    <w:rsid w:val="004D339A"/>
    <w:rsid w:val="004D65CE"/>
    <w:rsid w:val="004E391F"/>
    <w:rsid w:val="004E5B97"/>
    <w:rsid w:val="004F45F6"/>
    <w:rsid w:val="004F53F6"/>
    <w:rsid w:val="00513587"/>
    <w:rsid w:val="00517A96"/>
    <w:rsid w:val="00526F7D"/>
    <w:rsid w:val="00527AC3"/>
    <w:rsid w:val="00532E06"/>
    <w:rsid w:val="00534C5B"/>
    <w:rsid w:val="005522F4"/>
    <w:rsid w:val="005845D2"/>
    <w:rsid w:val="0059338A"/>
    <w:rsid w:val="00595033"/>
    <w:rsid w:val="005A7A01"/>
    <w:rsid w:val="005A7CD1"/>
    <w:rsid w:val="005B04A5"/>
    <w:rsid w:val="005B4828"/>
    <w:rsid w:val="005B701D"/>
    <w:rsid w:val="005C7669"/>
    <w:rsid w:val="005C7895"/>
    <w:rsid w:val="005D1D63"/>
    <w:rsid w:val="005E0F94"/>
    <w:rsid w:val="005E2E7E"/>
    <w:rsid w:val="005E3440"/>
    <w:rsid w:val="005F4847"/>
    <w:rsid w:val="005F5601"/>
    <w:rsid w:val="00605D22"/>
    <w:rsid w:val="00606CF8"/>
    <w:rsid w:val="00607B3B"/>
    <w:rsid w:val="006107B1"/>
    <w:rsid w:val="00630F93"/>
    <w:rsid w:val="00632AD2"/>
    <w:rsid w:val="00637EBC"/>
    <w:rsid w:val="0064317E"/>
    <w:rsid w:val="00650815"/>
    <w:rsid w:val="00682367"/>
    <w:rsid w:val="00692356"/>
    <w:rsid w:val="006B433A"/>
    <w:rsid w:val="006C7123"/>
    <w:rsid w:val="006D520C"/>
    <w:rsid w:val="006D75DC"/>
    <w:rsid w:val="006E6AB0"/>
    <w:rsid w:val="006F30AB"/>
    <w:rsid w:val="006F3DC6"/>
    <w:rsid w:val="00711B9E"/>
    <w:rsid w:val="007143C1"/>
    <w:rsid w:val="0073205E"/>
    <w:rsid w:val="00733B71"/>
    <w:rsid w:val="00734CCE"/>
    <w:rsid w:val="007451A2"/>
    <w:rsid w:val="00745BDF"/>
    <w:rsid w:val="0075503B"/>
    <w:rsid w:val="0075713B"/>
    <w:rsid w:val="00763560"/>
    <w:rsid w:val="00765E5E"/>
    <w:rsid w:val="007705FF"/>
    <w:rsid w:val="0078084F"/>
    <w:rsid w:val="00783B18"/>
    <w:rsid w:val="00786304"/>
    <w:rsid w:val="007A1C11"/>
    <w:rsid w:val="007A4F10"/>
    <w:rsid w:val="007C064A"/>
    <w:rsid w:val="007D0886"/>
    <w:rsid w:val="007D63B5"/>
    <w:rsid w:val="007D7C0B"/>
    <w:rsid w:val="007F0455"/>
    <w:rsid w:val="0080701A"/>
    <w:rsid w:val="008143BE"/>
    <w:rsid w:val="00816F8E"/>
    <w:rsid w:val="008378F6"/>
    <w:rsid w:val="008407AE"/>
    <w:rsid w:val="0085010A"/>
    <w:rsid w:val="00856BD7"/>
    <w:rsid w:val="008653A8"/>
    <w:rsid w:val="008662A3"/>
    <w:rsid w:val="00866570"/>
    <w:rsid w:val="008761BA"/>
    <w:rsid w:val="00891BCE"/>
    <w:rsid w:val="008B34EF"/>
    <w:rsid w:val="008C01B9"/>
    <w:rsid w:val="008D6ECF"/>
    <w:rsid w:val="0090793B"/>
    <w:rsid w:val="009134B0"/>
    <w:rsid w:val="00921161"/>
    <w:rsid w:val="00921B13"/>
    <w:rsid w:val="00923673"/>
    <w:rsid w:val="009462ED"/>
    <w:rsid w:val="00950463"/>
    <w:rsid w:val="00981F06"/>
    <w:rsid w:val="009A55DD"/>
    <w:rsid w:val="009B1CA2"/>
    <w:rsid w:val="009F0EE6"/>
    <w:rsid w:val="009F6293"/>
    <w:rsid w:val="00A05500"/>
    <w:rsid w:val="00A05A30"/>
    <w:rsid w:val="00A24146"/>
    <w:rsid w:val="00A256DC"/>
    <w:rsid w:val="00A344E3"/>
    <w:rsid w:val="00A4059C"/>
    <w:rsid w:val="00A448B6"/>
    <w:rsid w:val="00A45304"/>
    <w:rsid w:val="00A55FBF"/>
    <w:rsid w:val="00A62D35"/>
    <w:rsid w:val="00A636C6"/>
    <w:rsid w:val="00A75FED"/>
    <w:rsid w:val="00A770C6"/>
    <w:rsid w:val="00A87068"/>
    <w:rsid w:val="00A96C55"/>
    <w:rsid w:val="00AC1148"/>
    <w:rsid w:val="00AC450A"/>
    <w:rsid w:val="00AD26E4"/>
    <w:rsid w:val="00AD7FB8"/>
    <w:rsid w:val="00AE16F4"/>
    <w:rsid w:val="00AF1144"/>
    <w:rsid w:val="00AF5FE7"/>
    <w:rsid w:val="00B00D0A"/>
    <w:rsid w:val="00B060A4"/>
    <w:rsid w:val="00B23E2A"/>
    <w:rsid w:val="00B36B47"/>
    <w:rsid w:val="00B36E02"/>
    <w:rsid w:val="00B55BF0"/>
    <w:rsid w:val="00B66DB9"/>
    <w:rsid w:val="00B67CAC"/>
    <w:rsid w:val="00B82AD9"/>
    <w:rsid w:val="00B83132"/>
    <w:rsid w:val="00B93B06"/>
    <w:rsid w:val="00BA092D"/>
    <w:rsid w:val="00BA37F3"/>
    <w:rsid w:val="00BA5EA6"/>
    <w:rsid w:val="00BB66B1"/>
    <w:rsid w:val="00BB6B29"/>
    <w:rsid w:val="00BB7E54"/>
    <w:rsid w:val="00BC2726"/>
    <w:rsid w:val="00BD74A3"/>
    <w:rsid w:val="00BD7C84"/>
    <w:rsid w:val="00BE76E8"/>
    <w:rsid w:val="00BF61F5"/>
    <w:rsid w:val="00C01453"/>
    <w:rsid w:val="00C107CF"/>
    <w:rsid w:val="00C15CDB"/>
    <w:rsid w:val="00C17AFE"/>
    <w:rsid w:val="00C27BEC"/>
    <w:rsid w:val="00C27ECF"/>
    <w:rsid w:val="00C44A15"/>
    <w:rsid w:val="00C47394"/>
    <w:rsid w:val="00C64B17"/>
    <w:rsid w:val="00C70AFE"/>
    <w:rsid w:val="00C71695"/>
    <w:rsid w:val="00C80C0F"/>
    <w:rsid w:val="00C834C2"/>
    <w:rsid w:val="00C86B35"/>
    <w:rsid w:val="00C87B3E"/>
    <w:rsid w:val="00C91A45"/>
    <w:rsid w:val="00CA0DDA"/>
    <w:rsid w:val="00CC4C93"/>
    <w:rsid w:val="00CC6FF4"/>
    <w:rsid w:val="00CE4191"/>
    <w:rsid w:val="00CF2F80"/>
    <w:rsid w:val="00D04671"/>
    <w:rsid w:val="00D22C9A"/>
    <w:rsid w:val="00D37B19"/>
    <w:rsid w:val="00D61284"/>
    <w:rsid w:val="00D6449D"/>
    <w:rsid w:val="00D66DB0"/>
    <w:rsid w:val="00D82D6B"/>
    <w:rsid w:val="00D94A6F"/>
    <w:rsid w:val="00DA2A39"/>
    <w:rsid w:val="00DA45EC"/>
    <w:rsid w:val="00DD5E91"/>
    <w:rsid w:val="00DF0328"/>
    <w:rsid w:val="00DF246F"/>
    <w:rsid w:val="00DF5067"/>
    <w:rsid w:val="00DF54FC"/>
    <w:rsid w:val="00E0494E"/>
    <w:rsid w:val="00E10433"/>
    <w:rsid w:val="00E11129"/>
    <w:rsid w:val="00E113A2"/>
    <w:rsid w:val="00E12149"/>
    <w:rsid w:val="00E22DC1"/>
    <w:rsid w:val="00E3020F"/>
    <w:rsid w:val="00E4172C"/>
    <w:rsid w:val="00E44B30"/>
    <w:rsid w:val="00E50AD2"/>
    <w:rsid w:val="00E6446D"/>
    <w:rsid w:val="00E647F1"/>
    <w:rsid w:val="00E75932"/>
    <w:rsid w:val="00E80FBB"/>
    <w:rsid w:val="00E86E62"/>
    <w:rsid w:val="00E976AC"/>
    <w:rsid w:val="00EA4113"/>
    <w:rsid w:val="00EA6F3B"/>
    <w:rsid w:val="00EB7CDD"/>
    <w:rsid w:val="00EC42D7"/>
    <w:rsid w:val="00EE0D3D"/>
    <w:rsid w:val="00EE29DA"/>
    <w:rsid w:val="00EE6EFA"/>
    <w:rsid w:val="00F0117C"/>
    <w:rsid w:val="00F01AAD"/>
    <w:rsid w:val="00F02071"/>
    <w:rsid w:val="00F054B4"/>
    <w:rsid w:val="00F17FF8"/>
    <w:rsid w:val="00F22B12"/>
    <w:rsid w:val="00F24726"/>
    <w:rsid w:val="00F251C0"/>
    <w:rsid w:val="00F27541"/>
    <w:rsid w:val="00F34EED"/>
    <w:rsid w:val="00F3571C"/>
    <w:rsid w:val="00F37AB1"/>
    <w:rsid w:val="00F65D06"/>
    <w:rsid w:val="00F66D5F"/>
    <w:rsid w:val="00F92C48"/>
    <w:rsid w:val="00F95786"/>
    <w:rsid w:val="00FB733B"/>
    <w:rsid w:val="00FB7831"/>
    <w:rsid w:val="00FC0A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79C66"/>
  <w15:chartTrackingRefBased/>
  <w15:docId w15:val="{180A743D-730C-4B21-A763-86C777AD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AAD"/>
    <w:rPr>
      <w:sz w:val="24"/>
      <w:szCs w:val="24"/>
      <w:lang w:val="en-US" w:eastAsia="en-US"/>
    </w:rPr>
  </w:style>
  <w:style w:type="paragraph" w:styleId="Heading1">
    <w:name w:val="heading 1"/>
    <w:basedOn w:val="Normal"/>
    <w:next w:val="Normal"/>
    <w:link w:val="Heading1Char"/>
    <w:qFormat/>
    <w:rsid w:val="00F34E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2,2m"/>
    <w:basedOn w:val="Normal"/>
    <w:next w:val="Normal"/>
    <w:qFormat/>
    <w:pPr>
      <w:keepNext/>
      <w:spacing w:before="480" w:after="300"/>
      <w:jc w:val="center"/>
      <w:outlineLvl w:val="1"/>
    </w:pPr>
    <w:rPr>
      <w:rFonts w:ascii="Arial" w:hAnsi="Arial" w:cs="Arial"/>
      <w:b/>
      <w:bCs/>
      <w:iCs/>
      <w:sz w:val="28"/>
      <w:szCs w:val="28"/>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spacing w:after="120"/>
      <w:ind w:left="283"/>
    </w:pPr>
    <w:rPr>
      <w:sz w:val="16"/>
      <w:szCs w:val="16"/>
    </w:rPr>
  </w:style>
  <w:style w:type="paragraph" w:styleId="Header">
    <w:name w:val="header"/>
    <w:basedOn w:val="Normal"/>
    <w:link w:val="HeaderChar"/>
    <w:uiPriority w:val="99"/>
    <w:rsid w:val="004E5B97"/>
    <w:pPr>
      <w:tabs>
        <w:tab w:val="center" w:pos="4536"/>
        <w:tab w:val="right" w:pos="9072"/>
      </w:tabs>
    </w:pPr>
  </w:style>
  <w:style w:type="paragraph" w:styleId="Footer">
    <w:name w:val="footer"/>
    <w:basedOn w:val="Normal"/>
    <w:link w:val="FooterChar"/>
    <w:uiPriority w:val="99"/>
    <w:rsid w:val="004E5B97"/>
    <w:pPr>
      <w:tabs>
        <w:tab w:val="center" w:pos="4536"/>
        <w:tab w:val="right" w:pos="9072"/>
      </w:tabs>
    </w:pPr>
  </w:style>
  <w:style w:type="character" w:styleId="PageNumber">
    <w:name w:val="page number"/>
    <w:basedOn w:val="DefaultParagraphFont"/>
    <w:rsid w:val="00192754"/>
  </w:style>
  <w:style w:type="paragraph" w:styleId="PlainText">
    <w:name w:val="Plain Text"/>
    <w:basedOn w:val="Normal"/>
    <w:rsid w:val="000C56EA"/>
    <w:rPr>
      <w:rFonts w:ascii="Courier New" w:hAnsi="Courier New" w:cs="Courier New"/>
      <w:sz w:val="20"/>
      <w:szCs w:val="20"/>
      <w:lang w:val="sk-SK" w:eastAsia="cs-CZ"/>
    </w:rPr>
  </w:style>
  <w:style w:type="paragraph" w:styleId="BodyText">
    <w:name w:val="Body Text"/>
    <w:basedOn w:val="Normal"/>
    <w:link w:val="BodyTextChar"/>
    <w:rsid w:val="00015556"/>
    <w:pPr>
      <w:spacing w:after="120"/>
    </w:pPr>
  </w:style>
  <w:style w:type="character" w:customStyle="1" w:styleId="BodyTextChar">
    <w:name w:val="Body Text Char"/>
    <w:link w:val="BodyText"/>
    <w:rsid w:val="00015556"/>
    <w:rPr>
      <w:sz w:val="24"/>
      <w:szCs w:val="24"/>
      <w:lang w:val="en-US" w:eastAsia="en-US"/>
    </w:rPr>
  </w:style>
  <w:style w:type="character" w:customStyle="1" w:styleId="HeaderChar">
    <w:name w:val="Header Char"/>
    <w:link w:val="Header"/>
    <w:uiPriority w:val="99"/>
    <w:locked/>
    <w:rsid w:val="00015556"/>
    <w:rPr>
      <w:sz w:val="24"/>
      <w:szCs w:val="24"/>
      <w:lang w:val="en-US" w:eastAsia="en-US"/>
    </w:rPr>
  </w:style>
  <w:style w:type="paragraph" w:styleId="Subtitle">
    <w:name w:val="Subtitle"/>
    <w:basedOn w:val="Normal"/>
    <w:link w:val="SubtitleChar"/>
    <w:qFormat/>
    <w:rsid w:val="00015556"/>
    <w:pPr>
      <w:jc w:val="center"/>
    </w:pPr>
    <w:rPr>
      <w:rFonts w:ascii="Arial" w:hAnsi="Arial" w:cs="Arial"/>
      <w:b/>
      <w:bCs/>
      <w:lang w:val="sk-SK" w:eastAsia="sk-SK"/>
    </w:rPr>
  </w:style>
  <w:style w:type="character" w:customStyle="1" w:styleId="SubtitleChar">
    <w:name w:val="Subtitle Char"/>
    <w:link w:val="Subtitle"/>
    <w:rsid w:val="00015556"/>
    <w:rPr>
      <w:rFonts w:ascii="Arial" w:hAnsi="Arial" w:cs="Arial"/>
      <w:b/>
      <w:bCs/>
      <w:sz w:val="24"/>
      <w:szCs w:val="24"/>
    </w:rPr>
  </w:style>
  <w:style w:type="paragraph" w:customStyle="1" w:styleId="weeklies">
    <w:name w:val="weeklies"/>
    <w:basedOn w:val="Normal"/>
    <w:next w:val="Normal"/>
    <w:uiPriority w:val="99"/>
    <w:rsid w:val="00015556"/>
    <w:pPr>
      <w:overflowPunct w:val="0"/>
      <w:autoSpaceDE w:val="0"/>
      <w:autoSpaceDN w:val="0"/>
      <w:adjustRightInd w:val="0"/>
      <w:jc w:val="both"/>
      <w:textAlignment w:val="baseline"/>
    </w:pPr>
    <w:rPr>
      <w:rFonts w:ascii="Arial" w:hAnsi="Arial" w:cs="Arial"/>
    </w:rPr>
  </w:style>
  <w:style w:type="paragraph" w:customStyle="1" w:styleId="normalL2">
    <w:name w:val="normal L2"/>
    <w:basedOn w:val="Normal"/>
    <w:autoRedefine/>
    <w:rsid w:val="00015556"/>
    <w:pPr>
      <w:tabs>
        <w:tab w:val="left" w:pos="360"/>
      </w:tabs>
      <w:spacing w:after="60"/>
      <w:ind w:left="360" w:hanging="360"/>
      <w:jc w:val="both"/>
    </w:pPr>
    <w:rPr>
      <w:rFonts w:ascii="Arial Narrow" w:hAnsi="Arial Narrow" w:cs="Arial"/>
      <w:bCs/>
      <w:sz w:val="20"/>
      <w:szCs w:val="20"/>
      <w:lang w:val="sk-SK" w:eastAsia="sk-SK"/>
    </w:rPr>
  </w:style>
  <w:style w:type="paragraph" w:styleId="BodyText2">
    <w:name w:val="Body Text 2"/>
    <w:basedOn w:val="Normal"/>
    <w:link w:val="BodyText2Char"/>
    <w:rsid w:val="004C0A3A"/>
    <w:pPr>
      <w:spacing w:after="120" w:line="480" w:lineRule="auto"/>
    </w:pPr>
  </w:style>
  <w:style w:type="character" w:customStyle="1" w:styleId="BodyText2Char">
    <w:name w:val="Body Text 2 Char"/>
    <w:link w:val="BodyText2"/>
    <w:rsid w:val="004C0A3A"/>
    <w:rPr>
      <w:sz w:val="24"/>
      <w:szCs w:val="24"/>
      <w:lang w:val="en-US" w:eastAsia="en-US"/>
    </w:rPr>
  </w:style>
  <w:style w:type="paragraph" w:customStyle="1" w:styleId="Style2">
    <w:name w:val="Style2"/>
    <w:basedOn w:val="Normal"/>
    <w:uiPriority w:val="99"/>
    <w:rsid w:val="00D82D6B"/>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val="sk-SK"/>
    </w:rPr>
  </w:style>
  <w:style w:type="paragraph" w:customStyle="1" w:styleId="Odstavecseseznamem">
    <w:name w:val="Odstavec se seznamem"/>
    <w:basedOn w:val="Normal"/>
    <w:uiPriority w:val="99"/>
    <w:qFormat/>
    <w:rsid w:val="00D82D6B"/>
    <w:pPr>
      <w:spacing w:after="200" w:line="276" w:lineRule="auto"/>
      <w:ind w:left="720"/>
      <w:contextualSpacing/>
    </w:pPr>
    <w:rPr>
      <w:rFonts w:ascii="Calibri" w:hAnsi="Calibri"/>
      <w:sz w:val="22"/>
      <w:szCs w:val="22"/>
      <w:lang w:val="sk-SK" w:eastAsia="sk-SK"/>
    </w:rPr>
  </w:style>
  <w:style w:type="paragraph" w:customStyle="1" w:styleId="xl32">
    <w:name w:val="xl32"/>
    <w:basedOn w:val="Normal"/>
    <w:rsid w:val="005522F4"/>
    <w:pPr>
      <w:spacing w:before="100" w:beforeAutospacing="1" w:after="100" w:afterAutospacing="1"/>
      <w:jc w:val="center"/>
    </w:pPr>
    <w:rPr>
      <w:rFonts w:ascii="Arial" w:hAnsi="Arial" w:cs="Arial"/>
      <w:sz w:val="16"/>
      <w:szCs w:val="16"/>
    </w:rPr>
  </w:style>
  <w:style w:type="paragraph" w:customStyle="1" w:styleId="Predmetkomentra1">
    <w:name w:val="Predmet komentára1"/>
    <w:basedOn w:val="CommentText"/>
    <w:next w:val="CommentText"/>
    <w:semiHidden/>
    <w:rsid w:val="00B36E02"/>
    <w:rPr>
      <w:b/>
      <w:bCs/>
      <w:lang w:val="sk-SK" w:eastAsia="sk-SK"/>
    </w:rPr>
  </w:style>
  <w:style w:type="paragraph" w:customStyle="1" w:styleId="Textbubliny1">
    <w:name w:val="Text bubliny1"/>
    <w:basedOn w:val="Normal"/>
    <w:semiHidden/>
    <w:rsid w:val="00B36E02"/>
    <w:rPr>
      <w:rFonts w:ascii="Tahoma" w:hAnsi="Tahoma" w:cs="Tahoma"/>
      <w:sz w:val="16"/>
      <w:szCs w:val="16"/>
      <w:lang w:val="sk-SK" w:eastAsia="sk-SK"/>
    </w:rPr>
  </w:style>
  <w:style w:type="paragraph" w:styleId="CommentText">
    <w:name w:val="annotation text"/>
    <w:basedOn w:val="Normal"/>
    <w:link w:val="CommentTextChar"/>
    <w:rsid w:val="00B36E02"/>
    <w:rPr>
      <w:sz w:val="20"/>
      <w:szCs w:val="20"/>
    </w:rPr>
  </w:style>
  <w:style w:type="character" w:customStyle="1" w:styleId="CommentTextChar">
    <w:name w:val="Comment Text Char"/>
    <w:link w:val="CommentText"/>
    <w:rsid w:val="00B36E02"/>
    <w:rPr>
      <w:lang w:val="en-US" w:eastAsia="en-US"/>
    </w:rPr>
  </w:style>
  <w:style w:type="paragraph" w:styleId="BalloonText">
    <w:name w:val="Balloon Text"/>
    <w:basedOn w:val="Normal"/>
    <w:link w:val="BalloonTextChar"/>
    <w:rsid w:val="00F17FF8"/>
    <w:rPr>
      <w:rFonts w:ascii="Segoe UI" w:hAnsi="Segoe UI" w:cs="Segoe UI"/>
      <w:sz w:val="18"/>
      <w:szCs w:val="18"/>
    </w:rPr>
  </w:style>
  <w:style w:type="character" w:customStyle="1" w:styleId="BalloonTextChar">
    <w:name w:val="Balloon Text Char"/>
    <w:link w:val="BalloonText"/>
    <w:rsid w:val="00F17FF8"/>
    <w:rPr>
      <w:rFonts w:ascii="Segoe UI" w:hAnsi="Segoe UI" w:cs="Segoe UI"/>
      <w:sz w:val="18"/>
      <w:szCs w:val="18"/>
      <w:lang w:val="en-US" w:eastAsia="en-US"/>
    </w:rPr>
  </w:style>
  <w:style w:type="character" w:customStyle="1" w:styleId="FooterChar">
    <w:name w:val="Footer Char"/>
    <w:link w:val="Footer"/>
    <w:uiPriority w:val="99"/>
    <w:rsid w:val="00E80FBB"/>
    <w:rPr>
      <w:sz w:val="24"/>
      <w:szCs w:val="24"/>
      <w:lang w:val="en-US" w:eastAsia="en-US"/>
    </w:rPr>
  </w:style>
  <w:style w:type="paragraph" w:styleId="ListParagraph">
    <w:name w:val="List Paragraph"/>
    <w:basedOn w:val="Normal"/>
    <w:uiPriority w:val="34"/>
    <w:qFormat/>
    <w:rsid w:val="00630F93"/>
    <w:pPr>
      <w:spacing w:after="160" w:line="259" w:lineRule="auto"/>
      <w:ind w:left="720"/>
      <w:contextualSpacing/>
    </w:pPr>
    <w:rPr>
      <w:rFonts w:ascii="Calibri" w:eastAsia="Calibri" w:hAnsi="Calibri"/>
      <w:sz w:val="22"/>
      <w:szCs w:val="22"/>
      <w:lang w:val="sk-SK"/>
    </w:rPr>
  </w:style>
  <w:style w:type="character" w:customStyle="1" w:styleId="Heading1Char">
    <w:name w:val="Heading 1 Char"/>
    <w:basedOn w:val="DefaultParagraphFont"/>
    <w:link w:val="Heading1"/>
    <w:rsid w:val="00F34EED"/>
    <w:rPr>
      <w:rFonts w:asciiTheme="majorHAnsi" w:eastAsiaTheme="majorEastAsia" w:hAnsiTheme="majorHAnsi" w:cstheme="majorBidi"/>
      <w:color w:val="2F5496" w:themeColor="accent1" w:themeShade="BF"/>
      <w:sz w:val="32"/>
      <w:szCs w:val="32"/>
      <w:lang w:val="en-US" w:eastAsia="en-US"/>
    </w:rPr>
  </w:style>
  <w:style w:type="paragraph" w:customStyle="1" w:styleId="text">
    <w:name w:val="text"/>
    <w:basedOn w:val="Normal"/>
    <w:rsid w:val="00F34EED"/>
    <w:pPr>
      <w:overflowPunct w:val="0"/>
      <w:autoSpaceDE w:val="0"/>
      <w:autoSpaceDN w:val="0"/>
      <w:adjustRightInd w:val="0"/>
      <w:spacing w:after="120"/>
      <w:ind w:firstLine="567"/>
      <w:jc w:val="both"/>
    </w:pPr>
    <w:rPr>
      <w:szCs w:val="20"/>
      <w:lang w:val="sk-SK"/>
    </w:rPr>
  </w:style>
  <w:style w:type="paragraph" w:customStyle="1" w:styleId="funkcia">
    <w:name w:val="funkcia"/>
    <w:basedOn w:val="Normal"/>
    <w:rsid w:val="00F34EED"/>
    <w:pPr>
      <w:keepNext/>
      <w:keepLines/>
      <w:spacing w:line="240" w:lineRule="atLeast"/>
      <w:jc w:val="center"/>
    </w:pPr>
    <w:rPr>
      <w:szCs w:val="20"/>
      <w:lang w:val="sk-SK"/>
    </w:rPr>
  </w:style>
  <w:style w:type="table" w:styleId="TableGrid">
    <w:name w:val="Table Grid"/>
    <w:basedOn w:val="TableNormal"/>
    <w:uiPriority w:val="59"/>
    <w:rsid w:val="00F34E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256DC"/>
    <w:rPr>
      <w:sz w:val="16"/>
      <w:szCs w:val="16"/>
    </w:rPr>
  </w:style>
  <w:style w:type="paragraph" w:styleId="CommentSubject">
    <w:name w:val="annotation subject"/>
    <w:basedOn w:val="CommentText"/>
    <w:next w:val="CommentText"/>
    <w:link w:val="CommentSubjectChar"/>
    <w:rsid w:val="00A256DC"/>
    <w:rPr>
      <w:b/>
      <w:bCs/>
    </w:rPr>
  </w:style>
  <w:style w:type="character" w:customStyle="1" w:styleId="CommentSubjectChar">
    <w:name w:val="Comment Subject Char"/>
    <w:basedOn w:val="CommentTextChar"/>
    <w:link w:val="CommentSubject"/>
    <w:rsid w:val="00A256DC"/>
    <w:rPr>
      <w:b/>
      <w:bCs/>
      <w:lang w:val="en-US" w:eastAsia="en-US"/>
    </w:rPr>
  </w:style>
  <w:style w:type="paragraph" w:styleId="Revision">
    <w:name w:val="Revision"/>
    <w:hidden/>
    <w:uiPriority w:val="99"/>
    <w:semiHidden/>
    <w:rsid w:val="0090793B"/>
    <w:rPr>
      <w:sz w:val="24"/>
      <w:szCs w:val="24"/>
      <w:lang w:val="en-US" w:eastAsia="en-US"/>
    </w:rPr>
  </w:style>
  <w:style w:type="character" w:styleId="Hyperlink">
    <w:name w:val="Hyperlink"/>
    <w:basedOn w:val="DefaultParagraphFont"/>
    <w:uiPriority w:val="99"/>
    <w:rsid w:val="009462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7318">
      <w:bodyDiv w:val="1"/>
      <w:marLeft w:val="0"/>
      <w:marRight w:val="0"/>
      <w:marTop w:val="0"/>
      <w:marBottom w:val="0"/>
      <w:divBdr>
        <w:top w:val="none" w:sz="0" w:space="0" w:color="auto"/>
        <w:left w:val="none" w:sz="0" w:space="0" w:color="auto"/>
        <w:bottom w:val="none" w:sz="0" w:space="0" w:color="auto"/>
        <w:right w:val="none" w:sz="0" w:space="0" w:color="auto"/>
      </w:divBdr>
    </w:div>
    <w:div w:id="108621281">
      <w:bodyDiv w:val="1"/>
      <w:marLeft w:val="0"/>
      <w:marRight w:val="0"/>
      <w:marTop w:val="0"/>
      <w:marBottom w:val="0"/>
      <w:divBdr>
        <w:top w:val="none" w:sz="0" w:space="0" w:color="auto"/>
        <w:left w:val="none" w:sz="0" w:space="0" w:color="auto"/>
        <w:bottom w:val="none" w:sz="0" w:space="0" w:color="auto"/>
        <w:right w:val="none" w:sz="0" w:space="0" w:color="auto"/>
      </w:divBdr>
    </w:div>
    <w:div w:id="482429937">
      <w:bodyDiv w:val="1"/>
      <w:marLeft w:val="0"/>
      <w:marRight w:val="0"/>
      <w:marTop w:val="0"/>
      <w:marBottom w:val="0"/>
      <w:divBdr>
        <w:top w:val="none" w:sz="0" w:space="0" w:color="auto"/>
        <w:left w:val="none" w:sz="0" w:space="0" w:color="auto"/>
        <w:bottom w:val="none" w:sz="0" w:space="0" w:color="auto"/>
        <w:right w:val="none" w:sz="0" w:space="0" w:color="auto"/>
      </w:divBdr>
    </w:div>
    <w:div w:id="88541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josephine.proebiz.com/sk/tender/12873/summary%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9bf75833825cb5a84785c2d9fcd199f5">
  <xsd:schema xmlns:xsd="http://www.w3.org/2001/XMLSchema" xmlns:xs="http://www.w3.org/2001/XMLSchema" xmlns:p="http://schemas.microsoft.com/office/2006/metadata/properties" xmlns:ns1="http://schemas.microsoft.com/sharepoint/v3" xmlns:ns3="0269C28B-7571-48C5-B98D-8C5C89057314" xmlns:ns4="d3853cc4-d128-4a0a-b714-747fdaf64de0" targetNamespace="http://schemas.microsoft.com/office/2006/metadata/properties" ma:root="true" ma:fieldsID="4b84a5aeb4ecc069d2833e8b74360818" ns1:_="" ns3:_="" ns4:_="">
    <xsd:import namespace="http://schemas.microsoft.com/sharepoint/v3"/>
    <xsd:import namespace="0269C28B-7571-48C5-B98D-8C5C89057314"/>
    <xsd:import namespace="d3853cc4-d128-4a0a-b714-747fdaf64de0"/>
    <xsd:element name="properties">
      <xsd:complexType>
        <xsd:sequence>
          <xsd:element name="documentManagement">
            <xsd:complexType>
              <xsd:all>
                <xsd:element ref="ns1:TemplateUrl" minOccurs="0"/>
                <xsd:element ref="ns1:xd_ProgID" minOccurs="0"/>
                <xsd:element ref="ns1:xd_Signature" minOccurs="0"/>
                <xsd:element ref="ns3:Metadata"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53cc4-d128-4a0a-b714-747fdaf64de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6E080-0023-41AA-A2CB-5E81823B4DFF}">
  <ds:schemaRefs>
    <ds:schemaRef ds:uri="http://schemas.openxmlformats.org/officeDocument/2006/bibliography"/>
  </ds:schemaRefs>
</ds:datastoreItem>
</file>

<file path=customXml/itemProps2.xml><?xml version="1.0" encoding="utf-8"?>
<ds:datastoreItem xmlns:ds="http://schemas.openxmlformats.org/officeDocument/2006/customXml" ds:itemID="{DF2C95AE-3D39-41BE-B90B-D01D22802249}">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3.xml><?xml version="1.0" encoding="utf-8"?>
<ds:datastoreItem xmlns:ds="http://schemas.openxmlformats.org/officeDocument/2006/customXml" ds:itemID="{736A637B-F10D-4B1E-8EA5-BEB1C791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d3853cc4-d128-4a0a-b714-747fdaf64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1488</Words>
  <Characters>8486</Characters>
  <Application>Microsoft Office Word</Application>
  <DocSecurity>0</DocSecurity>
  <Lines>70</Lines>
  <Paragraphs>19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Vysvetlenie _SP_1.docx</vt:lpstr>
      <vt:lpstr>Príloha č</vt:lpstr>
    </vt:vector>
  </TitlesOfParts>
  <Company>NBS</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Vysvetlenie _SP_1.docx</dc:title>
  <dc:subject/>
  <dc:creator>Kucera</dc:creator>
  <cp:keywords/>
  <cp:lastModifiedBy>Vladimír</cp:lastModifiedBy>
  <cp:revision>11</cp:revision>
  <cp:lastPrinted>2018-11-19T09:58:00Z</cp:lastPrinted>
  <dcterms:created xsi:type="dcterms:W3CDTF">2021-07-11T05:03:00Z</dcterms:created>
  <dcterms:modified xsi:type="dcterms:W3CDTF">2021-07-19T11:15:00Z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