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CA9660" w14:textId="6887A1A2" w:rsidR="00CC5203" w:rsidRPr="00654BB4" w:rsidRDefault="00D6536D" w:rsidP="007E28A5">
      <w:p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noProof/>
        </w:rPr>
        <w:drawing>
          <wp:anchor distT="0" distB="0" distL="114935" distR="114935" simplePos="0" relativeHeight="251657728" behindDoc="1" locked="0" layoutInCell="1" allowOverlap="1" wp14:anchorId="6238ABE5" wp14:editId="3327675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 w:rsidRPr="00654BB4">
        <w:rPr>
          <w:rFonts w:ascii="Noto Sans" w:hAnsi="Noto Sans" w:cs="Noto Sans"/>
          <w:sz w:val="28"/>
          <w:szCs w:val="28"/>
        </w:rPr>
        <w:t xml:space="preserve"> </w:t>
      </w:r>
    </w:p>
    <w:p w14:paraId="35F7B060" w14:textId="64134AF2" w:rsidR="00CC5203" w:rsidRPr="00654BB4" w:rsidRDefault="00CC5203" w:rsidP="007E28A5">
      <w:pPr>
        <w:ind w:left="3540" w:firstLine="708"/>
        <w:contextualSpacing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b/>
        </w:rPr>
        <w:t>s.r.o</w:t>
      </w:r>
      <w:proofErr w:type="spellEnd"/>
      <w:r w:rsidRPr="00654BB4">
        <w:rPr>
          <w:rFonts w:ascii="Noto Sans" w:hAnsi="Noto Sans" w:cs="Noto Sans"/>
          <w:b/>
        </w:rPr>
        <w:t>.</w:t>
      </w:r>
    </w:p>
    <w:p w14:paraId="7A3621FF" w14:textId="5185A8FF" w:rsidR="00CC5203" w:rsidRPr="00654BB4" w:rsidRDefault="00CC5203" w:rsidP="007E28A5">
      <w:pPr>
        <w:ind w:left="2832" w:firstLine="708"/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Južné nábrežie 13, 042 19 Košice</w:t>
      </w:r>
    </w:p>
    <w:p w14:paraId="23DEE84A" w14:textId="3982288A" w:rsidR="00425F48" w:rsidRPr="00654BB4" w:rsidRDefault="00425F48" w:rsidP="007E28A5">
      <w:pPr>
        <w:contextualSpacing/>
        <w:rPr>
          <w:rFonts w:ascii="Noto Sans" w:hAnsi="Noto Sans" w:cs="Noto Sans"/>
          <w:b/>
        </w:rPr>
      </w:pPr>
    </w:p>
    <w:p w14:paraId="16B1C885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51C8571A" w14:textId="36F6BAEC" w:rsidR="00F17CD1" w:rsidRPr="00654BB4" w:rsidRDefault="00AD3857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0</w:t>
      </w:r>
      <w:r w:rsidR="00E23CB5" w:rsidRPr="00654BB4">
        <w:rPr>
          <w:rFonts w:ascii="Noto Sans" w:hAnsi="Noto Sans" w:cs="Noto Sans"/>
          <w:b/>
          <w:sz w:val="20"/>
          <w:szCs w:val="20"/>
        </w:rPr>
        <w:t>34</w:t>
      </w:r>
      <w:r w:rsidR="00CC5203" w:rsidRPr="00654BB4">
        <w:rPr>
          <w:rFonts w:ascii="Noto Sans" w:hAnsi="Noto Sans" w:cs="Noto Sans"/>
          <w:b/>
          <w:sz w:val="20"/>
          <w:szCs w:val="20"/>
        </w:rPr>
        <w:t>/20</w:t>
      </w:r>
      <w:r w:rsidR="009F19D3" w:rsidRPr="00654BB4">
        <w:rPr>
          <w:rFonts w:ascii="Noto Sans" w:hAnsi="Noto Sans" w:cs="Noto Sans"/>
          <w:b/>
          <w:sz w:val="20"/>
          <w:szCs w:val="20"/>
        </w:rPr>
        <w:t>2</w:t>
      </w:r>
      <w:r w:rsidR="0006477C" w:rsidRPr="00654BB4">
        <w:rPr>
          <w:rFonts w:ascii="Noto Sans" w:hAnsi="Noto Sans" w:cs="Noto Sans"/>
          <w:b/>
          <w:sz w:val="20"/>
          <w:szCs w:val="20"/>
        </w:rPr>
        <w:t>1</w:t>
      </w:r>
      <w:r w:rsidR="00CC5203" w:rsidRPr="00654BB4">
        <w:rPr>
          <w:rFonts w:ascii="Noto Sans" w:hAnsi="Noto Sans" w:cs="Noto Sans"/>
          <w:b/>
          <w:sz w:val="20"/>
          <w:szCs w:val="20"/>
        </w:rPr>
        <w:t>/VO-§117</w:t>
      </w:r>
    </w:p>
    <w:p w14:paraId="44927D1E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654BB4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654BB4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– </w:t>
      </w:r>
      <w:r w:rsidR="00CC5203" w:rsidRPr="00654BB4">
        <w:rPr>
          <w:rFonts w:ascii="Noto Sans" w:hAnsi="Noto Sans" w:cs="Noto Sans"/>
          <w:b/>
        </w:rPr>
        <w:t>zákazka s nízkou hodnotou</w:t>
      </w:r>
      <w:r w:rsidR="004D7B0A" w:rsidRPr="00654BB4">
        <w:rPr>
          <w:rFonts w:ascii="Noto Sans" w:hAnsi="Noto Sans" w:cs="Noto Sans"/>
          <w:b/>
        </w:rPr>
        <w:t xml:space="preserve"> – verejná súťaž</w:t>
      </w:r>
    </w:p>
    <w:p w14:paraId="1CD516E2" w14:textId="77777777" w:rsidR="0006477C" w:rsidRPr="00654BB4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</w:t>
      </w:r>
      <w:r w:rsidR="00410C31" w:rsidRPr="00654BB4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410C31"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654BB4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7C8A06B5" w14:textId="77777777" w:rsidR="002F7AEA" w:rsidRPr="00654BB4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44 518</w:t>
      </w:r>
      <w:r w:rsidR="00BB5E16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DD58CC">
        <w:rPr>
          <w:rFonts w:ascii="Noto Sans" w:hAnsi="Noto Sans" w:cs="Noto Sans"/>
          <w:b/>
          <w:bCs/>
          <w:sz w:val="20"/>
          <w:szCs w:val="20"/>
        </w:rPr>
        <w:t>, PhD.</w:t>
      </w:r>
      <w:r w:rsidRPr="00654BB4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64B48C52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Južné nábrežie 13, PSČ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654BB4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+421</w:t>
      </w:r>
      <w:r w:rsidR="005E3E4D" w:rsidRPr="00654BB4">
        <w:rPr>
          <w:rFonts w:ascii="Noto Sans" w:hAnsi="Noto Sans" w:cs="Noto Sans"/>
          <w:sz w:val="20"/>
          <w:szCs w:val="20"/>
        </w:rPr>
        <w:t>9</w:t>
      </w:r>
      <w:r w:rsidR="00F3376B" w:rsidRPr="00654BB4">
        <w:rPr>
          <w:rFonts w:ascii="Noto Sans" w:hAnsi="Noto Sans" w:cs="Noto Sans"/>
          <w:sz w:val="20"/>
          <w:szCs w:val="20"/>
        </w:rPr>
        <w:t>08</w:t>
      </w:r>
      <w:r w:rsidR="005E3E4D" w:rsidRPr="00654BB4">
        <w:rPr>
          <w:rFonts w:ascii="Noto Sans" w:hAnsi="Noto Sans" w:cs="Noto Sans"/>
          <w:sz w:val="20"/>
          <w:szCs w:val="20"/>
        </w:rPr>
        <w:t> </w:t>
      </w:r>
      <w:r w:rsidR="00860BD8" w:rsidRPr="00654BB4">
        <w:rPr>
          <w:rFonts w:ascii="Noto Sans" w:hAnsi="Noto Sans" w:cs="Noto Sans"/>
          <w:sz w:val="20"/>
          <w:szCs w:val="20"/>
        </w:rPr>
        <w:t>118</w:t>
      </w:r>
      <w:r w:rsidR="005E3E4D" w:rsidRPr="00654BB4">
        <w:rPr>
          <w:rFonts w:ascii="Noto Sans" w:hAnsi="Noto Sans" w:cs="Noto Sans"/>
          <w:sz w:val="20"/>
          <w:szCs w:val="20"/>
        </w:rPr>
        <w:t xml:space="preserve"> </w:t>
      </w:r>
      <w:r w:rsidR="00860BD8" w:rsidRPr="00654BB4">
        <w:rPr>
          <w:rFonts w:ascii="Noto Sans" w:hAnsi="Noto Sans" w:cs="Noto Sans"/>
          <w:sz w:val="20"/>
          <w:szCs w:val="20"/>
        </w:rPr>
        <w:t>6</w:t>
      </w:r>
      <w:r w:rsidR="0006477C" w:rsidRPr="00654BB4">
        <w:rPr>
          <w:rFonts w:ascii="Noto Sans" w:hAnsi="Noto Sans" w:cs="Noto Sans"/>
          <w:sz w:val="20"/>
          <w:szCs w:val="20"/>
        </w:rPr>
        <w:t>2</w:t>
      </w:r>
      <w:r w:rsidR="00860BD8" w:rsidRPr="00654BB4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hyperlink r:id="rId9" w:history="1">
        <w:r w:rsidR="005C5C43" w:rsidRPr="00654BB4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654BB4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654BB4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654BB4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2967C9" w:rsidRPr="00654BB4">
        <w:rPr>
          <w:rFonts w:ascii="Noto Sans" w:hAnsi="Noto Sans" w:cs="Noto Sans"/>
          <w:b/>
          <w:bCs/>
          <w:sz w:val="20"/>
          <w:szCs w:val="20"/>
        </w:rPr>
        <w:t> 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10" w:history="1">
        <w:r w:rsidR="00F27CE1" w:rsidRPr="00654BB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54BB4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654BB4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45C03D2D" w14:textId="77777777" w:rsidR="00E23CB5" w:rsidRPr="00654BB4" w:rsidRDefault="00CC5203" w:rsidP="00E23CB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654BB4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654BB4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654BB4">
        <w:rPr>
          <w:rFonts w:ascii="Noto Sans" w:hAnsi="Noto Sans" w:cs="Noto Sans"/>
          <w:b/>
          <w:iCs/>
          <w:sz w:val="20"/>
          <w:szCs w:val="20"/>
        </w:rPr>
        <w:t>,,</w:t>
      </w:r>
      <w:r w:rsidR="00E23CB5" w:rsidRPr="00654BB4">
        <w:rPr>
          <w:rFonts w:ascii="Noto Sans" w:hAnsi="Noto Sans" w:cs="Noto Sans"/>
          <w:b/>
          <w:sz w:val="20"/>
          <w:szCs w:val="20"/>
        </w:rPr>
        <w:t xml:space="preserve">Rekonštrukcia plynovej kotolne MŠ Kavečany, </w:t>
      </w:r>
    </w:p>
    <w:p w14:paraId="03181217" w14:textId="12F7C476" w:rsidR="00534EE8" w:rsidRPr="00654BB4" w:rsidRDefault="00E23CB5" w:rsidP="00E23CB5">
      <w:pPr>
        <w:tabs>
          <w:tab w:val="left" w:pos="284"/>
        </w:tabs>
        <w:ind w:left="720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ab/>
      </w:r>
      <w:r w:rsidRPr="00654BB4">
        <w:rPr>
          <w:rFonts w:ascii="Noto Sans" w:hAnsi="Noto Sans" w:cs="Noto Sans"/>
          <w:b/>
          <w:sz w:val="20"/>
          <w:szCs w:val="20"/>
        </w:rPr>
        <w:tab/>
      </w:r>
      <w:r w:rsidRPr="00654BB4">
        <w:rPr>
          <w:rFonts w:ascii="Noto Sans" w:hAnsi="Noto Sans" w:cs="Noto Sans"/>
          <w:b/>
          <w:sz w:val="20"/>
          <w:szCs w:val="20"/>
        </w:rPr>
        <w:tab/>
      </w:r>
      <w:r w:rsidRPr="00654BB4">
        <w:rPr>
          <w:rFonts w:ascii="Noto Sans" w:hAnsi="Noto Sans" w:cs="Noto Sans"/>
          <w:b/>
          <w:sz w:val="20"/>
          <w:szCs w:val="20"/>
        </w:rPr>
        <w:tab/>
      </w:r>
      <w:proofErr w:type="spellStart"/>
      <w:r w:rsidRPr="00654BB4">
        <w:rPr>
          <w:rFonts w:ascii="Noto Sans" w:hAnsi="Noto Sans" w:cs="Noto Sans"/>
          <w:b/>
          <w:sz w:val="20"/>
          <w:szCs w:val="20"/>
        </w:rPr>
        <w:t>Budanova</w:t>
      </w:r>
      <w:proofErr w:type="spellEnd"/>
      <w:r w:rsidRPr="00654BB4">
        <w:rPr>
          <w:rFonts w:ascii="Noto Sans" w:hAnsi="Noto Sans" w:cs="Noto Sans"/>
          <w:b/>
          <w:sz w:val="20"/>
          <w:szCs w:val="20"/>
        </w:rPr>
        <w:t xml:space="preserve"> 6</w:t>
      </w:r>
      <w:r w:rsidR="00410C31" w:rsidRPr="00654BB4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654BB4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B0202EB" w14:textId="15C9CBBC" w:rsidR="00AD394A" w:rsidRPr="00654BB4" w:rsidRDefault="00CC5203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D394A" w:rsidRPr="00654BB4">
        <w:rPr>
          <w:rFonts w:ascii="Noto Sans" w:hAnsi="Noto Sans" w:cs="Noto Sans"/>
          <w:sz w:val="20"/>
          <w:szCs w:val="20"/>
        </w:rPr>
        <w:t>stavebné práce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ab/>
      </w:r>
      <w:r w:rsidR="00AB2408" w:rsidRPr="00654BB4">
        <w:rPr>
          <w:rFonts w:ascii="Noto Sans" w:hAnsi="Noto Sans" w:cs="Noto Sans"/>
          <w:b/>
          <w:bCs/>
          <w:sz w:val="20"/>
          <w:szCs w:val="20"/>
        </w:rPr>
        <w:t>CPV kód</w:t>
      </w:r>
      <w:r w:rsidR="00B66DE7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="00860BD8" w:rsidRPr="00654BB4">
        <w:rPr>
          <w:rFonts w:ascii="Noto Sans" w:hAnsi="Noto Sans" w:cs="Noto Sans"/>
          <w:sz w:val="20"/>
          <w:szCs w:val="20"/>
        </w:rPr>
        <w:t xml:space="preserve"> </w:t>
      </w:r>
      <w:r w:rsidR="00317112" w:rsidRPr="00654BB4">
        <w:rPr>
          <w:rFonts w:ascii="Noto Sans" w:hAnsi="Noto Sans" w:cs="Noto Sans"/>
          <w:sz w:val="20"/>
          <w:szCs w:val="20"/>
        </w:rPr>
        <w:t>45331110-0 – Inštalovanie kotlov</w:t>
      </w:r>
    </w:p>
    <w:p w14:paraId="0E4FB994" w14:textId="77777777" w:rsidR="00317112" w:rsidRPr="00654BB4" w:rsidRDefault="00317112" w:rsidP="00317112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010FC22A" w14:textId="77777777" w:rsidR="0006477C" w:rsidRPr="00654BB4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0F9E0298" w14:textId="2AB100F9" w:rsidR="001E5A18" w:rsidRPr="00654BB4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>Predmetom zákazky je rekonštrukcia plynovej kotolne</w:t>
      </w:r>
      <w:r w:rsidR="00346A86" w:rsidRPr="00654BB4">
        <w:rPr>
          <w:rFonts w:ascii="Noto Sans" w:hAnsi="Noto Sans" w:cs="Noto Sans"/>
          <w:snapToGrid w:val="0"/>
          <w:sz w:val="20"/>
          <w:szCs w:val="20"/>
        </w:rPr>
        <w:t xml:space="preserve"> MŠ Kavečany, </w:t>
      </w:r>
      <w:proofErr w:type="spellStart"/>
      <w:r w:rsidR="00346A86" w:rsidRPr="00654BB4">
        <w:rPr>
          <w:rFonts w:ascii="Noto Sans" w:hAnsi="Noto Sans" w:cs="Noto Sans"/>
          <w:snapToGrid w:val="0"/>
          <w:sz w:val="20"/>
          <w:szCs w:val="20"/>
        </w:rPr>
        <w:t>Budanova</w:t>
      </w:r>
      <w:proofErr w:type="spellEnd"/>
      <w:r w:rsidR="00346A86" w:rsidRPr="00654BB4">
        <w:rPr>
          <w:rFonts w:ascii="Noto Sans" w:hAnsi="Noto Sans" w:cs="Noto Sans"/>
          <w:snapToGrid w:val="0"/>
          <w:sz w:val="20"/>
          <w:szCs w:val="20"/>
        </w:rPr>
        <w:t xml:space="preserve"> 6. Rekonštrukcia 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>pozostáva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 z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> realizácie rekonštrukcie vykurovania, z realizácie rozvodu silnoprúdu a </w:t>
      </w:r>
      <w:proofErr w:type="spellStart"/>
      <w:r w:rsidR="00D32A65" w:rsidRPr="00654BB4">
        <w:rPr>
          <w:rFonts w:ascii="Noto Sans" w:hAnsi="Noto Sans" w:cs="Noto Sans"/>
          <w:snapToGrid w:val="0"/>
          <w:sz w:val="20"/>
          <w:szCs w:val="20"/>
        </w:rPr>
        <w:t>MaR</w:t>
      </w:r>
      <w:proofErr w:type="spellEnd"/>
      <w:r w:rsidR="00D32A65" w:rsidRPr="00654BB4">
        <w:rPr>
          <w:rFonts w:ascii="Noto Sans" w:hAnsi="Noto Sans" w:cs="Noto Sans"/>
          <w:snapToGrid w:val="0"/>
          <w:sz w:val="20"/>
          <w:szCs w:val="20"/>
        </w:rPr>
        <w:t xml:space="preserve"> pre</w:t>
      </w:r>
      <w:r w:rsidR="00606522">
        <w:rPr>
          <w:rFonts w:ascii="Noto Sans" w:hAnsi="Noto Sans" w:cs="Noto Sans"/>
          <w:snapToGrid w:val="0"/>
          <w:sz w:val="20"/>
          <w:szCs w:val="20"/>
        </w:rPr>
        <w:t> 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>zabezpečenie prevádzky kotolne a plynofikáciu kotolne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. Práce je potrebné realizovať 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>v súlade s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 projektov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>ou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 dokumentáci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>ou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346A86" w:rsidRPr="00654BB4">
        <w:rPr>
          <w:rFonts w:ascii="Noto Sans" w:hAnsi="Noto Sans" w:cs="Noto Sans"/>
          <w:snapToGrid w:val="0"/>
          <w:sz w:val="20"/>
          <w:szCs w:val="20"/>
        </w:rPr>
        <w:t>(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 xml:space="preserve">viď </w:t>
      </w:r>
      <w:r w:rsidRPr="00654BB4">
        <w:rPr>
          <w:rFonts w:ascii="Noto Sans" w:hAnsi="Noto Sans" w:cs="Noto Sans"/>
          <w:snapToGrid w:val="0"/>
          <w:sz w:val="20"/>
          <w:szCs w:val="20"/>
        </w:rPr>
        <w:t>Príloha č.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606522">
        <w:rPr>
          <w:rFonts w:ascii="Noto Sans" w:hAnsi="Noto Sans" w:cs="Noto Sans"/>
          <w:snapToGrid w:val="0"/>
          <w:sz w:val="20"/>
          <w:szCs w:val="20"/>
        </w:rPr>
        <w:t>5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 xml:space="preserve"> Výzvy</w:t>
      </w:r>
      <w:r w:rsidR="00346A86" w:rsidRPr="00654BB4">
        <w:rPr>
          <w:rFonts w:ascii="Noto Sans" w:hAnsi="Noto Sans" w:cs="Noto Sans"/>
          <w:snapToGrid w:val="0"/>
          <w:sz w:val="20"/>
          <w:szCs w:val="20"/>
        </w:rPr>
        <w:t>)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 a priloženého súpisu prác a materiálu </w:t>
      </w:r>
      <w:r w:rsidR="00346A86" w:rsidRPr="00654BB4">
        <w:rPr>
          <w:rFonts w:ascii="Noto Sans" w:hAnsi="Noto Sans" w:cs="Noto Sans"/>
          <w:snapToGrid w:val="0"/>
          <w:sz w:val="20"/>
          <w:szCs w:val="20"/>
        </w:rPr>
        <w:t>(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 xml:space="preserve">viď </w:t>
      </w:r>
      <w:r w:rsidRPr="00654BB4">
        <w:rPr>
          <w:rFonts w:ascii="Noto Sans" w:hAnsi="Noto Sans" w:cs="Noto Sans"/>
          <w:snapToGrid w:val="0"/>
          <w:sz w:val="20"/>
          <w:szCs w:val="20"/>
        </w:rPr>
        <w:t>Príloh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>a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 č.</w:t>
      </w:r>
      <w:r w:rsidR="00D32A65" w:rsidRPr="00654BB4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napToGrid w:val="0"/>
          <w:sz w:val="20"/>
          <w:szCs w:val="20"/>
        </w:rPr>
        <w:t>1</w:t>
      </w:r>
      <w:r w:rsidRPr="00654BB4">
        <w:rPr>
          <w:rFonts w:ascii="Noto Sans" w:hAnsi="Noto Sans" w:cs="Noto Sans"/>
          <w:snapToGrid w:val="0"/>
          <w:sz w:val="20"/>
          <w:szCs w:val="20"/>
        </w:rPr>
        <w:t xml:space="preserve"> Výzvy</w:t>
      </w:r>
      <w:r w:rsidR="00346A86" w:rsidRPr="00654BB4">
        <w:rPr>
          <w:rFonts w:ascii="Noto Sans" w:hAnsi="Noto Sans" w:cs="Noto Sans"/>
          <w:snapToGrid w:val="0"/>
          <w:sz w:val="20"/>
          <w:szCs w:val="20"/>
        </w:rPr>
        <w:t>)</w:t>
      </w:r>
      <w:r w:rsidRPr="00654BB4">
        <w:rPr>
          <w:rFonts w:ascii="Noto Sans" w:hAnsi="Noto Sans" w:cs="Noto Sans"/>
          <w:snapToGrid w:val="0"/>
          <w:sz w:val="20"/>
          <w:szCs w:val="20"/>
        </w:rPr>
        <w:t>.</w:t>
      </w:r>
    </w:p>
    <w:p w14:paraId="48C0C1F3" w14:textId="6BEC4313" w:rsidR="001E5A18" w:rsidRPr="00654BB4" w:rsidRDefault="001E5A18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>Projekt UK rieši rekonštrukciu zdroja tepla na vykurovania a ohrev TUV. Rekonštrukcia vykurovania pozostáva z návrhu nového zdroja tepla – plynovej kotolne na vykurovanie, rozdelenie jestvujúcej vetvy vykurovania na dve samostatné vetvy a doplnenie vykurovacích telies.</w:t>
      </w:r>
    </w:p>
    <w:p w14:paraId="56389D3A" w14:textId="48343AAD" w:rsidR="001E5A18" w:rsidRPr="00654BB4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Rekonštrukčné práce v objekte bude možné začať realizovať až po </w:t>
      </w:r>
      <w:r w:rsidR="001E5A18" w:rsidRPr="00654BB4">
        <w:rPr>
          <w:rFonts w:ascii="Noto Sans" w:hAnsi="Noto Sans" w:cs="Noto Sans"/>
          <w:snapToGrid w:val="0"/>
          <w:sz w:val="20"/>
          <w:szCs w:val="20"/>
        </w:rPr>
        <w:t>01.07.2021</w:t>
      </w:r>
      <w:r w:rsidRPr="00654BB4">
        <w:rPr>
          <w:rFonts w:ascii="Noto Sans" w:hAnsi="Noto Sans" w:cs="Noto Sans"/>
          <w:snapToGrid w:val="0"/>
          <w:sz w:val="20"/>
          <w:szCs w:val="20"/>
        </w:rPr>
        <w:t>.</w:t>
      </w:r>
    </w:p>
    <w:p w14:paraId="16BBCF40" w14:textId="6F0201D4" w:rsidR="001E5A18" w:rsidRDefault="001E5A18" w:rsidP="00317112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S úspešným uchádzačom bude uzatvorená Zmluva o dielo (viď Príloha č. </w:t>
      </w:r>
      <w:r w:rsidR="00346A86" w:rsidRPr="00654BB4">
        <w:rPr>
          <w:rFonts w:ascii="Noto Sans" w:hAnsi="Noto Sans" w:cs="Noto Sans"/>
          <w:sz w:val="20"/>
          <w:szCs w:val="20"/>
        </w:rPr>
        <w:t>4</w:t>
      </w:r>
      <w:r w:rsidRPr="00654BB4">
        <w:rPr>
          <w:rFonts w:ascii="Noto Sans" w:hAnsi="Noto Sans" w:cs="Noto Sans"/>
          <w:sz w:val="20"/>
          <w:szCs w:val="20"/>
        </w:rPr>
        <w:t xml:space="preserve"> Výzvy).</w:t>
      </w:r>
    </w:p>
    <w:p w14:paraId="75C22EDD" w14:textId="1B9809EE" w:rsidR="00AD6FF8" w:rsidRPr="00654BB4" w:rsidRDefault="00AD6FF8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Zhotoviteľ bude zodpovedný za dodržanie požiadaviek objednávateľa na technické parametre predmetu diela</w:t>
      </w:r>
      <w:r w:rsidR="00967D23">
        <w:rPr>
          <w:rFonts w:ascii="Noto Sans" w:hAnsi="Noto Sans" w:cs="Noto Sans"/>
          <w:sz w:val="20"/>
          <w:szCs w:val="20"/>
        </w:rPr>
        <w:t xml:space="preserve"> (viď Príloha č. 2 Výzvy)</w:t>
      </w:r>
      <w:r>
        <w:rPr>
          <w:rFonts w:ascii="Noto Sans" w:hAnsi="Noto Sans" w:cs="Noto Sans"/>
          <w:sz w:val="20"/>
          <w:szCs w:val="20"/>
        </w:rPr>
        <w:t>, pričom je povinný požadované parametre dokladovať podkladmi a dokumentáciou výrobcu.</w:t>
      </w:r>
    </w:p>
    <w:p w14:paraId="5B559EB8" w14:textId="24B1DB59" w:rsidR="001E5A18" w:rsidRPr="00654BB4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iný ekvivalentný materiál, ktorý má </w:t>
      </w:r>
      <w:r w:rsidRPr="00654BB4">
        <w:rPr>
          <w:rFonts w:ascii="Noto Sans" w:hAnsi="Noto Sans" w:cs="Noto Sans"/>
          <w:snapToGrid w:val="0"/>
          <w:sz w:val="20"/>
          <w:szCs w:val="20"/>
        </w:rPr>
        <w:lastRenderedPageBreak/>
        <w:t>porovnateľné kvalitatívne alebo výkonnostné charakteristiky ako tie, ktoré uviedol verejný obstarávateľ.</w:t>
      </w:r>
    </w:p>
    <w:p w14:paraId="2A800DF9" w14:textId="58554C1B" w:rsidR="005E7D15" w:rsidRPr="00654BB4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 predloženej cenovej ponuke. Túto skutočnosť si zmluvné strany potvrdia a odsúhlasia samostatným písomným záznamom.</w:t>
      </w:r>
    </w:p>
    <w:p w14:paraId="14E6086A" w14:textId="77777777" w:rsidR="00317112" w:rsidRPr="00654BB4" w:rsidRDefault="00317112" w:rsidP="00317112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76ED361F" w:rsidR="0087587D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317112" w:rsidRPr="00654BB4">
        <w:rPr>
          <w:rFonts w:ascii="Noto Sans" w:hAnsi="Noto Sans" w:cs="Noto Sans"/>
          <w:b/>
          <w:sz w:val="20"/>
          <w:szCs w:val="20"/>
        </w:rPr>
        <w:t>28</w:t>
      </w:r>
      <w:r w:rsidR="00346A86" w:rsidRPr="00654BB4">
        <w:rPr>
          <w:rFonts w:ascii="Noto Sans" w:hAnsi="Noto Sans" w:cs="Noto Sans"/>
          <w:b/>
          <w:sz w:val="20"/>
          <w:szCs w:val="20"/>
        </w:rPr>
        <w:t>.</w:t>
      </w:r>
      <w:r w:rsidR="00317112" w:rsidRPr="00654BB4">
        <w:rPr>
          <w:rFonts w:ascii="Noto Sans" w:hAnsi="Noto Sans" w:cs="Noto Sans"/>
          <w:b/>
          <w:sz w:val="20"/>
          <w:szCs w:val="20"/>
        </w:rPr>
        <w:t>269,80</w:t>
      </w:r>
      <w:r w:rsidR="0087587D" w:rsidRPr="00654BB4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654BB4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654BB4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750C311F" w:rsidR="00E44CF1" w:rsidRPr="00654BB4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1E5A18" w:rsidRPr="00654BB4">
        <w:rPr>
          <w:rFonts w:ascii="Noto Sans" w:hAnsi="Noto Sans" w:cs="Noto Sans"/>
          <w:b/>
          <w:bCs/>
          <w:sz w:val="20"/>
          <w:szCs w:val="20"/>
        </w:rPr>
        <w:t xml:space="preserve">ZŠ Kavečany, </w:t>
      </w:r>
      <w:proofErr w:type="spellStart"/>
      <w:r w:rsidR="001E5A18" w:rsidRPr="00654BB4">
        <w:rPr>
          <w:rFonts w:ascii="Noto Sans" w:hAnsi="Noto Sans" w:cs="Noto Sans"/>
          <w:b/>
          <w:bCs/>
          <w:sz w:val="20"/>
          <w:szCs w:val="20"/>
        </w:rPr>
        <w:t>Budanova</w:t>
      </w:r>
      <w:proofErr w:type="spellEnd"/>
      <w:r w:rsidR="001E5A18" w:rsidRPr="00654BB4">
        <w:rPr>
          <w:rFonts w:ascii="Noto Sans" w:hAnsi="Noto Sans" w:cs="Noto Sans"/>
          <w:b/>
          <w:bCs/>
          <w:sz w:val="20"/>
          <w:szCs w:val="20"/>
        </w:rPr>
        <w:t xml:space="preserve"> 6, Košice</w:t>
      </w:r>
    </w:p>
    <w:p w14:paraId="6273A99A" w14:textId="40EDB9A8" w:rsidR="00006F98" w:rsidRPr="00654BB4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654BB4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7426DC">
        <w:rPr>
          <w:rFonts w:ascii="Noto Sans" w:hAnsi="Noto Sans" w:cs="Noto Sans"/>
          <w:b/>
          <w:bCs/>
          <w:sz w:val="20"/>
          <w:szCs w:val="20"/>
        </w:rPr>
        <w:t>21 dní od odovzdania staveniska</w:t>
      </w:r>
    </w:p>
    <w:p w14:paraId="42D8E3DC" w14:textId="159805B7" w:rsidR="00DE597D" w:rsidRPr="00654BB4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Lehota splatnosti faktúr</w:t>
      </w:r>
      <w:r w:rsidR="00E86D69" w:rsidRPr="00654BB4">
        <w:rPr>
          <w:rFonts w:ascii="Noto Sans" w:hAnsi="Noto Sans" w:cs="Noto Sans"/>
          <w:sz w:val="20"/>
          <w:szCs w:val="20"/>
        </w:rPr>
        <w:t>y</w:t>
      </w:r>
      <w:r w:rsidRPr="00654BB4">
        <w:rPr>
          <w:rFonts w:ascii="Noto Sans" w:hAnsi="Noto Sans" w:cs="Noto Sans"/>
          <w:sz w:val="20"/>
          <w:szCs w:val="20"/>
        </w:rPr>
        <w:t xml:space="preserve">: </w:t>
      </w:r>
      <w:r w:rsidRPr="00654BB4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43F1706" w14:textId="1EDB2CD0" w:rsidR="00D431A8" w:rsidRPr="00654BB4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Záruka: </w:t>
      </w:r>
      <w:r w:rsidR="00C27D1A" w:rsidRPr="00654BB4">
        <w:rPr>
          <w:rFonts w:ascii="Noto Sans" w:hAnsi="Noto Sans" w:cs="Noto Sans"/>
          <w:b/>
          <w:bCs/>
          <w:sz w:val="20"/>
          <w:szCs w:val="20"/>
        </w:rPr>
        <w:t xml:space="preserve">60 mesiacov, viď </w:t>
      </w:r>
      <w:proofErr w:type="spellStart"/>
      <w:r w:rsidR="00C27D1A" w:rsidRPr="00654BB4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6A7BF7BC" w14:textId="288AB114" w:rsidR="00DD183D" w:rsidRPr="00654BB4" w:rsidRDefault="004F17F8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S úspešným uchádzačom bude uzatvorená Zmluva o dielo na </w:t>
      </w:r>
      <w:r w:rsidR="008B0A91" w:rsidRPr="00654BB4">
        <w:rPr>
          <w:rFonts w:ascii="Noto Sans" w:hAnsi="Noto Sans" w:cs="Noto Sans"/>
          <w:sz w:val="20"/>
          <w:szCs w:val="20"/>
        </w:rPr>
        <w:t>predmet zákazky</w:t>
      </w:r>
      <w:r w:rsidRPr="00654BB4">
        <w:rPr>
          <w:rFonts w:ascii="Noto Sans" w:hAnsi="Noto Sans" w:cs="Noto Sans"/>
          <w:sz w:val="20"/>
          <w:szCs w:val="20"/>
        </w:rPr>
        <w:t xml:space="preserve"> (viď Príloha č.</w:t>
      </w:r>
      <w:r w:rsidR="008D0AB9" w:rsidRPr="00654BB4">
        <w:rPr>
          <w:rFonts w:ascii="Noto Sans" w:hAnsi="Noto Sans" w:cs="Noto Sans"/>
          <w:sz w:val="20"/>
          <w:szCs w:val="20"/>
        </w:rPr>
        <w:t xml:space="preserve"> </w:t>
      </w:r>
      <w:r w:rsidR="0010385B" w:rsidRPr="00654BB4">
        <w:rPr>
          <w:rFonts w:ascii="Noto Sans" w:hAnsi="Noto Sans" w:cs="Noto Sans"/>
          <w:sz w:val="20"/>
          <w:szCs w:val="20"/>
        </w:rPr>
        <w:t>4</w:t>
      </w:r>
      <w:r w:rsidRPr="00654BB4">
        <w:rPr>
          <w:rFonts w:ascii="Noto Sans" w:hAnsi="Noto Sans" w:cs="Noto Sans"/>
          <w:sz w:val="20"/>
          <w:szCs w:val="20"/>
        </w:rPr>
        <w:t xml:space="preserve"> Výzvy)</w:t>
      </w:r>
    </w:p>
    <w:p w14:paraId="3F47E527" w14:textId="257A2FA0" w:rsidR="004C3577" w:rsidRPr="00654BB4" w:rsidRDefault="00262657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Zhotoviteľ začne s </w:t>
      </w:r>
      <w:r w:rsidR="004102D4" w:rsidRPr="00654BB4">
        <w:rPr>
          <w:rFonts w:ascii="Noto Sans" w:hAnsi="Noto Sans" w:cs="Noto Sans"/>
          <w:color w:val="000000"/>
          <w:sz w:val="20"/>
          <w:szCs w:val="20"/>
        </w:rPr>
        <w:t>rekonštrukcio</w:t>
      </w:r>
      <w:r w:rsidR="00E86D69" w:rsidRPr="00654BB4">
        <w:rPr>
          <w:rFonts w:ascii="Noto Sans" w:hAnsi="Noto Sans" w:cs="Noto Sans"/>
          <w:color w:val="000000"/>
          <w:sz w:val="20"/>
          <w:szCs w:val="20"/>
        </w:rPr>
        <w:t>u</w:t>
      </w:r>
      <w:r w:rsidR="004C3577" w:rsidRPr="00654BB4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4C3577"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do </w:t>
      </w:r>
      <w:r w:rsidR="007426DC">
        <w:rPr>
          <w:rFonts w:ascii="Noto Sans" w:hAnsi="Noto Sans" w:cs="Noto Sans"/>
          <w:b/>
          <w:bCs/>
          <w:color w:val="000000"/>
          <w:sz w:val="20"/>
          <w:szCs w:val="20"/>
        </w:rPr>
        <w:t>3</w:t>
      </w:r>
      <w:r w:rsidR="004C3577"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dní</w:t>
      </w:r>
      <w:r w:rsidR="004C3577" w:rsidRPr="00654BB4">
        <w:rPr>
          <w:rFonts w:ascii="Noto Sans" w:hAnsi="Noto Sans" w:cs="Noto Sans"/>
          <w:color w:val="000000"/>
          <w:sz w:val="20"/>
          <w:szCs w:val="20"/>
        </w:rPr>
        <w:t xml:space="preserve"> od </w:t>
      </w:r>
      <w:r w:rsidR="005F5AA0" w:rsidRPr="00654BB4">
        <w:rPr>
          <w:rFonts w:ascii="Noto Sans" w:hAnsi="Noto Sans" w:cs="Noto Sans"/>
          <w:color w:val="000000"/>
          <w:sz w:val="20"/>
          <w:szCs w:val="20"/>
        </w:rPr>
        <w:t>dátumu účinnosti</w:t>
      </w:r>
      <w:r w:rsidR="004C3577" w:rsidRPr="00654BB4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="004C3577" w:rsidRPr="00654BB4">
        <w:rPr>
          <w:rFonts w:ascii="Noto Sans" w:hAnsi="Noto Sans" w:cs="Noto Sans"/>
          <w:color w:val="000000"/>
          <w:sz w:val="20"/>
          <w:szCs w:val="20"/>
        </w:rPr>
        <w:t>ZoD</w:t>
      </w:r>
      <w:proofErr w:type="spellEnd"/>
    </w:p>
    <w:p w14:paraId="23F76D04" w14:textId="2390E002" w:rsidR="004C3577" w:rsidRPr="00654BB4" w:rsidRDefault="004C3577" w:rsidP="007E28A5">
      <w:pPr>
        <w:pStyle w:val="Standard"/>
        <w:ind w:left="7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1CDFA1CA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54BB4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Pr="001854CC">
        <w:rPr>
          <w:rFonts w:ascii="Noto Sans" w:hAnsi="Noto Sans" w:cs="Noto Sans"/>
          <w:b/>
          <w:sz w:val="20"/>
          <w:szCs w:val="20"/>
        </w:rPr>
        <w:t xml:space="preserve">do </w:t>
      </w:r>
      <w:r w:rsidR="008B0A91" w:rsidRPr="001854CC">
        <w:rPr>
          <w:rFonts w:ascii="Noto Sans" w:hAnsi="Noto Sans" w:cs="Noto Sans"/>
          <w:b/>
          <w:sz w:val="20"/>
          <w:szCs w:val="20"/>
        </w:rPr>
        <w:t>2</w:t>
      </w:r>
      <w:r w:rsidR="00967D23" w:rsidRPr="001854CC">
        <w:rPr>
          <w:rFonts w:ascii="Noto Sans" w:hAnsi="Noto Sans" w:cs="Noto Sans"/>
          <w:b/>
          <w:sz w:val="20"/>
          <w:szCs w:val="20"/>
        </w:rPr>
        <w:t>9</w:t>
      </w:r>
      <w:r w:rsidR="00D951C8" w:rsidRPr="001854CC">
        <w:rPr>
          <w:rFonts w:ascii="Noto Sans" w:hAnsi="Noto Sans" w:cs="Noto Sans"/>
          <w:b/>
          <w:sz w:val="20"/>
          <w:szCs w:val="20"/>
        </w:rPr>
        <w:t>.</w:t>
      </w:r>
      <w:r w:rsidR="00484FD2" w:rsidRPr="001854CC">
        <w:rPr>
          <w:rFonts w:ascii="Noto Sans" w:hAnsi="Noto Sans" w:cs="Noto Sans"/>
          <w:b/>
          <w:sz w:val="20"/>
          <w:szCs w:val="20"/>
        </w:rPr>
        <w:t>0</w:t>
      </w:r>
      <w:r w:rsidR="007E28A5" w:rsidRPr="001854CC">
        <w:rPr>
          <w:rFonts w:ascii="Noto Sans" w:hAnsi="Noto Sans" w:cs="Noto Sans"/>
          <w:b/>
          <w:sz w:val="20"/>
          <w:szCs w:val="20"/>
        </w:rPr>
        <w:t>6</w:t>
      </w:r>
      <w:r w:rsidR="00D951C8" w:rsidRPr="001854CC">
        <w:rPr>
          <w:rFonts w:ascii="Noto Sans" w:hAnsi="Noto Sans" w:cs="Noto Sans"/>
          <w:b/>
          <w:sz w:val="20"/>
          <w:szCs w:val="20"/>
        </w:rPr>
        <w:t>.202</w:t>
      </w:r>
      <w:r w:rsidR="00484FD2" w:rsidRPr="001854CC">
        <w:rPr>
          <w:rFonts w:ascii="Noto Sans" w:hAnsi="Noto Sans" w:cs="Noto Sans"/>
          <w:b/>
          <w:sz w:val="20"/>
          <w:szCs w:val="20"/>
        </w:rPr>
        <w:t>1</w:t>
      </w:r>
      <w:r w:rsidRPr="001854CC">
        <w:rPr>
          <w:rFonts w:ascii="Noto Sans" w:hAnsi="Noto Sans" w:cs="Noto Sans"/>
          <w:b/>
          <w:sz w:val="20"/>
          <w:szCs w:val="20"/>
        </w:rPr>
        <w:t>, 10:00 hod</w:t>
      </w:r>
      <w:r w:rsidR="004566FB" w:rsidRPr="001854CC">
        <w:rPr>
          <w:rFonts w:ascii="Noto Sans" w:hAnsi="Noto Sans" w:cs="Noto Sans"/>
          <w:b/>
          <w:sz w:val="20"/>
          <w:szCs w:val="20"/>
        </w:rPr>
        <w:t>.</w:t>
      </w:r>
    </w:p>
    <w:p w14:paraId="4CE9BBA3" w14:textId="3DD04424" w:rsidR="00094C25" w:rsidRPr="00654BB4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654BB4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1343DE22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Cenu je potrebné spracovať na základe predpokladaného požadovaného rozsahu, kvality a ďalších požiadaviek uvedených vo Výzve na predloženie ponuky predmetnej zákazky podľa Prílohy č.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 xml:space="preserve"> (Súpis prác a materiálu) a Prílohy č. </w:t>
      </w:r>
      <w:r w:rsidR="0010385B" w:rsidRPr="00654BB4">
        <w:rPr>
          <w:rFonts w:ascii="Noto Sans" w:hAnsi="Noto Sans" w:cs="Noto Sans"/>
          <w:sz w:val="20"/>
          <w:szCs w:val="20"/>
        </w:rPr>
        <w:t>4</w:t>
      </w:r>
      <w:r w:rsidRPr="00654BB4">
        <w:rPr>
          <w:rFonts w:ascii="Noto Sans" w:hAnsi="Noto Sans" w:cs="Noto Sans"/>
          <w:sz w:val="20"/>
          <w:szCs w:val="20"/>
        </w:rPr>
        <w:t xml:space="preserve"> (návrh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ZoD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stavebných prác. </w:t>
      </w:r>
    </w:p>
    <w:p w14:paraId="2D92C948" w14:textId="089A31A5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105455EB" w14:textId="77777777" w:rsidR="004F17F8" w:rsidRPr="00654BB4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654BB4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654BB4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</w:t>
      </w:r>
      <w:r w:rsidR="00DE597D" w:rsidRPr="00654BB4">
        <w:rPr>
          <w:rFonts w:ascii="Noto Sans" w:hAnsi="Noto Sans" w:cs="Noto Sans"/>
          <w:sz w:val="20"/>
          <w:szCs w:val="20"/>
        </w:rPr>
        <w:t>e jednoetapový.</w:t>
      </w:r>
    </w:p>
    <w:p w14:paraId="792A2D9F" w14:textId="77777777" w:rsidR="00333BC1" w:rsidRPr="00654BB4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obstarávaní. Ponuky sa predkladajú v slovenskom alebo českom jazyku. Ponuky zaslané po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7245201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skenovanými dokladmi, ak sú požadované. Ponuka musí byť predložená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celý predmet zákazky. K ponuke je potrebné priložiť aj </w:t>
      </w:r>
      <w:r w:rsidR="00B52618" w:rsidRPr="00654BB4">
        <w:rPr>
          <w:rFonts w:ascii="Noto Sans" w:hAnsi="Noto Sans" w:cs="Noto Sans"/>
          <w:sz w:val="20"/>
          <w:szCs w:val="20"/>
        </w:rPr>
        <w:t>cenovú ponuku</w:t>
      </w:r>
      <w:r w:rsidRPr="00654BB4">
        <w:rPr>
          <w:rFonts w:ascii="Noto Sans" w:hAnsi="Noto Sans" w:cs="Noto Sans"/>
          <w:sz w:val="20"/>
          <w:szCs w:val="20"/>
        </w:rPr>
        <w:t xml:space="preserve"> podľa Prílohy č.</w:t>
      </w:r>
      <w:r w:rsidR="00410C31" w:rsidRPr="00654BB4">
        <w:rPr>
          <w:rFonts w:ascii="Noto Sans" w:hAnsi="Noto Sans" w:cs="Noto Sans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webovej adrese </w:t>
      </w:r>
      <w:hyperlink r:id="rId11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1E2E836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</w:t>
      </w:r>
      <w:r w:rsidR="00C03E92" w:rsidRPr="00654BB4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654BB4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54BB4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07C557E1" w14:textId="55011FE5" w:rsidR="00DE597D" w:rsidRPr="00654BB4" w:rsidRDefault="00DE597D" w:rsidP="007E28A5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38C9131A" w14:textId="77777777" w:rsidR="0039065C" w:rsidRPr="00654BB4" w:rsidRDefault="0039065C" w:rsidP="007E28A5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7C2FB1BE" w14:textId="77777777" w:rsidR="00410C31" w:rsidRPr="00654BB4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9CB175" w14:textId="74EB2678" w:rsidR="00096E88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Pr="00654BB4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6267E9C0" w:rsidR="00623162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</w:t>
      </w:r>
      <w:r w:rsidR="006A4E57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477F5898" w14:textId="7A761938" w:rsidR="00AD6FF8" w:rsidRPr="00654BB4" w:rsidRDefault="00AD6FF8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Požiadavky na technické parametre</w:t>
      </w:r>
      <w:r w:rsidR="0070199A">
        <w:rPr>
          <w:rFonts w:ascii="Noto Sans" w:hAnsi="Noto Sans" w:cs="Noto Sans"/>
          <w:iCs/>
          <w:sz w:val="20"/>
          <w:szCs w:val="20"/>
        </w:rPr>
        <w:t>, ktoré uchádzač musí dokladovať podkladmi a dokumentáciou výrobcu</w:t>
      </w:r>
      <w:r>
        <w:rPr>
          <w:rFonts w:ascii="Noto Sans" w:hAnsi="Noto Sans" w:cs="Noto Sans"/>
          <w:sz w:val="20"/>
          <w:szCs w:val="20"/>
        </w:rPr>
        <w:t xml:space="preserve"> (viď </w:t>
      </w:r>
      <w:r w:rsidRPr="00AD6FF8">
        <w:rPr>
          <w:rFonts w:ascii="Noto Sans" w:hAnsi="Noto Sans" w:cs="Noto Sans"/>
          <w:b/>
          <w:bCs/>
          <w:sz w:val="20"/>
          <w:szCs w:val="20"/>
        </w:rPr>
        <w:t>Príloha č. 2</w:t>
      </w:r>
      <w:r>
        <w:rPr>
          <w:rFonts w:ascii="Noto Sans" w:hAnsi="Noto Sans" w:cs="Noto Sans"/>
          <w:sz w:val="20"/>
          <w:szCs w:val="20"/>
        </w:rPr>
        <w:t xml:space="preserve"> Výzvy)</w:t>
      </w:r>
    </w:p>
    <w:p w14:paraId="55A8E491" w14:textId="0B8E3BDA" w:rsidR="00C03E9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830ED5" w:rsidRPr="00654BB4">
        <w:rPr>
          <w:rFonts w:ascii="Noto Sans" w:hAnsi="Noto Sans" w:cs="Noto Sans"/>
          <w:b/>
          <w:bCs/>
          <w:sz w:val="20"/>
          <w:szCs w:val="20"/>
        </w:rPr>
        <w:t>3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40 ods.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654BB4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654BB4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1267E46" w14:textId="77777777" w:rsidR="004F5CD3" w:rsidRPr="00654BB4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53DF6D1C" w:rsidR="00AC190B" w:rsidRPr="00AD6FF8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 w:rsidR="00032046" w:rsidRPr="00654BB4">
        <w:rPr>
          <w:rFonts w:ascii="Noto Sans" w:hAnsi="Noto Sans" w:cs="Noto Sans"/>
          <w:iCs/>
          <w:sz w:val="20"/>
          <w:szCs w:val="20"/>
        </w:rPr>
        <w:t>,</w:t>
      </w:r>
    </w:p>
    <w:p w14:paraId="3D69A948" w14:textId="413B4050" w:rsidR="00AD6FF8" w:rsidRPr="00654BB4" w:rsidRDefault="00AD6FF8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>Požiadavky na technické parametre, ktoré uchádzač musí dokladovať podkladmi a dokumentáciou výrobcu (Príloha č. 2 Výzvy),</w:t>
      </w:r>
    </w:p>
    <w:p w14:paraId="030FD1E4" w14:textId="508BE8C0" w:rsidR="00AC190B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54BB4">
        <w:rPr>
          <w:rFonts w:ascii="Noto Sans" w:hAnsi="Noto Sans" w:cs="Noto Sans"/>
          <w:bCs/>
          <w:sz w:val="20"/>
          <w:szCs w:val="20"/>
        </w:rPr>
        <w:t xml:space="preserve">podpísaný oprávnenou osobou uchádzača (Príloha č. </w:t>
      </w:r>
      <w:r w:rsidR="00830ED5" w:rsidRPr="00654BB4">
        <w:rPr>
          <w:rFonts w:ascii="Noto Sans" w:hAnsi="Noto Sans" w:cs="Noto Sans"/>
          <w:bCs/>
          <w:sz w:val="20"/>
          <w:szCs w:val="20"/>
        </w:rPr>
        <w:t>3</w:t>
      </w:r>
      <w:r w:rsidRPr="00654BB4">
        <w:rPr>
          <w:rFonts w:ascii="Noto Sans" w:hAnsi="Noto Sans" w:cs="Noto Sans"/>
          <w:bCs/>
          <w:sz w:val="20"/>
          <w:szCs w:val="20"/>
        </w:rPr>
        <w:t xml:space="preserve"> Výzvy)</w:t>
      </w:r>
      <w:r w:rsidR="00032046" w:rsidRPr="00654BB4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verejnom obstarávateľovi.</w:t>
      </w:r>
    </w:p>
    <w:p w14:paraId="78F7B5AB" w14:textId="77777777" w:rsidR="00333BC1" w:rsidRPr="00654BB4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637F0FEB" w:rsidR="0094449C" w:rsidRPr="00606522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304F19" w:rsidRPr="00654BB4">
        <w:rPr>
          <w:rFonts w:ascii="Noto Sans" w:hAnsi="Noto Sans" w:cs="Noto Sans"/>
          <w:snapToGrid w:val="0"/>
          <w:sz w:val="20"/>
          <w:szCs w:val="20"/>
        </w:rPr>
        <w:t>re</w:t>
      </w:r>
      <w:r w:rsidR="00967D23">
        <w:rPr>
          <w:rFonts w:ascii="Noto Sans" w:hAnsi="Noto Sans" w:cs="Noto Sans"/>
          <w:snapToGrid w:val="0"/>
          <w:sz w:val="20"/>
          <w:szCs w:val="20"/>
        </w:rPr>
        <w:t>konštrukčné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654BB4">
        <w:rPr>
          <w:rFonts w:ascii="Noto Sans" w:hAnsi="Noto Sans" w:cs="Noto Sans"/>
          <w:b/>
          <w:bCs/>
          <w:sz w:val="20"/>
          <w:szCs w:val="20"/>
        </w:rPr>
        <w:t>,</w:t>
      </w:r>
    </w:p>
    <w:p w14:paraId="1C92A4CE" w14:textId="7DA6589F" w:rsidR="00606522" w:rsidRPr="00654BB4" w:rsidRDefault="00606522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Podklady a dokumentáci</w:t>
      </w:r>
      <w:r w:rsidR="0047266F">
        <w:rPr>
          <w:rFonts w:ascii="Noto Sans" w:hAnsi="Noto Sans" w:cs="Noto Sans"/>
          <w:b/>
          <w:bCs/>
          <w:sz w:val="20"/>
          <w:szCs w:val="20"/>
        </w:rPr>
        <w:t>u</w:t>
      </w:r>
      <w:r>
        <w:rPr>
          <w:rFonts w:ascii="Noto Sans" w:hAnsi="Noto Sans" w:cs="Noto Sans"/>
          <w:b/>
          <w:bCs/>
          <w:sz w:val="20"/>
          <w:szCs w:val="20"/>
        </w:rPr>
        <w:t xml:space="preserve"> výrobcu </w:t>
      </w:r>
      <w:r w:rsidR="00FC3FB9">
        <w:rPr>
          <w:rFonts w:ascii="Noto Sans" w:hAnsi="Noto Sans" w:cs="Noto Sans"/>
          <w:sz w:val="20"/>
          <w:szCs w:val="20"/>
        </w:rPr>
        <w:t xml:space="preserve">(podľa požiadaviek na technické parametre, viď </w:t>
      </w:r>
      <w:r w:rsidR="00FC3FB9" w:rsidRPr="00FC3FB9">
        <w:rPr>
          <w:rFonts w:ascii="Noto Sans" w:hAnsi="Noto Sans" w:cs="Noto Sans"/>
          <w:b/>
          <w:bCs/>
          <w:sz w:val="20"/>
          <w:szCs w:val="20"/>
        </w:rPr>
        <w:t>Príloha č. 2</w:t>
      </w:r>
      <w:r w:rsidR="00FC3FB9">
        <w:rPr>
          <w:rFonts w:ascii="Noto Sans" w:hAnsi="Noto Sans" w:cs="Noto Sans"/>
          <w:sz w:val="20"/>
          <w:szCs w:val="20"/>
        </w:rPr>
        <w:t xml:space="preserve"> Výzvy)</w:t>
      </w:r>
    </w:p>
    <w:p w14:paraId="12F54534" w14:textId="73F9D4A6" w:rsidR="0027363F" w:rsidRPr="00654BB4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Cenový návrh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sz w:val="20"/>
          <w:szCs w:val="20"/>
        </w:rPr>
        <w:t>(vzor viď</w:t>
      </w:r>
      <w:r w:rsidR="0027363F" w:rsidRPr="00654BB4">
        <w:rPr>
          <w:rFonts w:ascii="Noto Sans" w:hAnsi="Noto Sans" w:cs="Noto Sans"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FC3FB9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 xml:space="preserve"> č.</w:t>
      </w:r>
      <w:r w:rsidR="000D2A06" w:rsidRPr="00FC3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54BB4">
        <w:rPr>
          <w:rFonts w:ascii="Noto Sans" w:hAnsi="Noto Sans" w:cs="Noto Sans"/>
          <w:sz w:val="20"/>
          <w:szCs w:val="20"/>
        </w:rPr>
        <w:t>,</w:t>
      </w:r>
    </w:p>
    <w:p w14:paraId="666C9462" w14:textId="1AF4BA8E" w:rsidR="0027363F" w:rsidRPr="00654BB4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5A1A2B" w:rsidRPr="00654BB4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5A1A2B" w:rsidRPr="00654BB4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654BB4" w:rsidRPr="00654BB4">
        <w:rPr>
          <w:rFonts w:ascii="Noto Sans" w:hAnsi="Noto Sans" w:cs="Noto Sans"/>
          <w:b/>
          <w:bCs/>
          <w:sz w:val="20"/>
          <w:szCs w:val="20"/>
        </w:rPr>
        <w:t>3</w:t>
      </w:r>
      <w:r w:rsidR="005A1A2B" w:rsidRPr="00654BB4">
        <w:rPr>
          <w:rFonts w:ascii="Noto Sans" w:hAnsi="Noto Sans" w:cs="Noto Sans"/>
          <w:sz w:val="20"/>
          <w:szCs w:val="20"/>
        </w:rPr>
        <w:t xml:space="preserve"> Výzvy),</w:t>
      </w:r>
    </w:p>
    <w:p w14:paraId="6E857227" w14:textId="06A9BBFD" w:rsidR="0027363F" w:rsidRPr="00654BB4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Vyplnený</w:t>
      </w:r>
      <w:r w:rsidR="005A1A2B" w:rsidRPr="00654BB4">
        <w:rPr>
          <w:rFonts w:ascii="Noto Sans" w:hAnsi="Noto Sans" w:cs="Noto Sans"/>
          <w:sz w:val="20"/>
          <w:szCs w:val="20"/>
        </w:rPr>
        <w:t>, opečiatkovaný</w:t>
      </w:r>
      <w:r w:rsidRPr="00654BB4">
        <w:rPr>
          <w:rFonts w:ascii="Noto Sans" w:hAnsi="Noto Sans" w:cs="Noto Sans"/>
          <w:sz w:val="20"/>
          <w:szCs w:val="20"/>
        </w:rPr>
        <w:t xml:space="preserve"> a podpísaný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Návrh Z</w:t>
      </w:r>
      <w:r w:rsidR="00032046" w:rsidRPr="00654BB4">
        <w:rPr>
          <w:rFonts w:ascii="Noto Sans" w:hAnsi="Noto Sans" w:cs="Noto Sans"/>
          <w:b/>
          <w:bCs/>
          <w:sz w:val="20"/>
          <w:szCs w:val="20"/>
        </w:rPr>
        <w:t>mluvy o dielo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sz w:val="20"/>
          <w:szCs w:val="20"/>
        </w:rPr>
        <w:t>(vzor viď</w:t>
      </w:r>
      <w:r w:rsidRPr="00654BB4">
        <w:rPr>
          <w:rFonts w:ascii="Noto Sans" w:hAnsi="Noto Sans" w:cs="Noto Sans"/>
          <w:sz w:val="20"/>
          <w:szCs w:val="20"/>
        </w:rPr>
        <w:t xml:space="preserve"> Príloh</w:t>
      </w:r>
      <w:r w:rsidR="00FC3FB9">
        <w:rPr>
          <w:rFonts w:ascii="Noto Sans" w:hAnsi="Noto Sans" w:cs="Noto Sans"/>
          <w:sz w:val="20"/>
          <w:szCs w:val="20"/>
        </w:rPr>
        <w:t>a</w:t>
      </w:r>
      <w:r w:rsidRPr="00654BB4">
        <w:rPr>
          <w:rFonts w:ascii="Noto Sans" w:hAnsi="Noto Sans" w:cs="Noto Sans"/>
          <w:sz w:val="20"/>
          <w:szCs w:val="20"/>
        </w:rPr>
        <w:t xml:space="preserve"> č.</w:t>
      </w:r>
      <w:r w:rsidR="000D2A06" w:rsidRPr="00654BB4">
        <w:rPr>
          <w:rFonts w:ascii="Noto Sans" w:hAnsi="Noto Sans" w:cs="Noto Sans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z w:val="20"/>
          <w:szCs w:val="20"/>
        </w:rPr>
        <w:t>4</w:t>
      </w:r>
      <w:r w:rsidR="000D2A06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54BB4">
        <w:rPr>
          <w:rFonts w:ascii="Noto Sans" w:hAnsi="Noto Sans" w:cs="Noto Sans"/>
          <w:sz w:val="20"/>
          <w:szCs w:val="20"/>
        </w:rPr>
        <w:t>.</w:t>
      </w:r>
    </w:p>
    <w:p w14:paraId="43534F78" w14:textId="77777777" w:rsidR="00594AAE" w:rsidRPr="00654BB4" w:rsidRDefault="00594AAE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8653D0B" w14:textId="089D82A7" w:rsidR="00967D23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V</w:t>
      </w:r>
      <w:r w:rsidRPr="00654BB4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B677C" w:rsidRPr="00654BB4">
        <w:rPr>
          <w:rFonts w:ascii="Noto Sans" w:hAnsi="Noto Sans" w:cs="Noto Sans"/>
          <w:b/>
          <w:sz w:val="20"/>
          <w:szCs w:val="20"/>
        </w:rPr>
        <w:t>Ing. Adela Liptáková</w:t>
      </w:r>
      <w:r w:rsidR="00032046" w:rsidRPr="00654BB4">
        <w:rPr>
          <w:rFonts w:ascii="Noto Sans" w:hAnsi="Noto Sans" w:cs="Noto Sans"/>
          <w:b/>
          <w:sz w:val="20"/>
          <w:szCs w:val="20"/>
        </w:rPr>
        <w:t>, tel.:</w:t>
      </w:r>
      <w:r w:rsidR="0004529D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54BB4">
        <w:rPr>
          <w:rFonts w:ascii="Noto Sans" w:hAnsi="Noto Sans" w:cs="Noto Sans"/>
          <w:b/>
          <w:sz w:val="20"/>
          <w:szCs w:val="20"/>
        </w:rPr>
        <w:t>+421</w:t>
      </w:r>
      <w:r w:rsidR="0004529D" w:rsidRPr="00654BB4">
        <w:rPr>
          <w:rFonts w:ascii="Noto Sans" w:hAnsi="Noto Sans" w:cs="Noto Sans"/>
          <w:b/>
          <w:sz w:val="20"/>
          <w:szCs w:val="20"/>
        </w:rPr>
        <w:t>91</w:t>
      </w:r>
      <w:r w:rsidR="00032046" w:rsidRPr="00654BB4">
        <w:rPr>
          <w:rFonts w:ascii="Noto Sans" w:hAnsi="Noto Sans" w:cs="Noto Sans"/>
          <w:b/>
          <w:sz w:val="20"/>
          <w:szCs w:val="20"/>
        </w:rPr>
        <w:t>7</w:t>
      </w:r>
      <w:r w:rsidR="0004529D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54BB4">
        <w:rPr>
          <w:rFonts w:ascii="Noto Sans" w:hAnsi="Noto Sans" w:cs="Noto Sans"/>
          <w:b/>
          <w:sz w:val="20"/>
          <w:szCs w:val="20"/>
        </w:rPr>
        <w:t>8</w:t>
      </w:r>
      <w:r w:rsidR="000B677C" w:rsidRPr="00654BB4">
        <w:rPr>
          <w:rFonts w:ascii="Noto Sans" w:hAnsi="Noto Sans" w:cs="Noto Sans"/>
          <w:b/>
          <w:sz w:val="20"/>
          <w:szCs w:val="20"/>
        </w:rPr>
        <w:t>80</w:t>
      </w:r>
      <w:r w:rsidR="00497CC2">
        <w:rPr>
          <w:rFonts w:ascii="Noto Sans" w:hAnsi="Noto Sans" w:cs="Noto Sans"/>
          <w:b/>
          <w:sz w:val="20"/>
          <w:szCs w:val="20"/>
        </w:rPr>
        <w:t> </w:t>
      </w:r>
      <w:r w:rsidR="000B677C" w:rsidRPr="00654BB4">
        <w:rPr>
          <w:rFonts w:ascii="Noto Sans" w:hAnsi="Noto Sans" w:cs="Noto Sans"/>
          <w:b/>
          <w:sz w:val="20"/>
          <w:szCs w:val="20"/>
        </w:rPr>
        <w:t>026.</w:t>
      </w:r>
    </w:p>
    <w:p w14:paraId="1DAA0887" w14:textId="77777777" w:rsidR="00497CC2" w:rsidRPr="00FC3FB9" w:rsidRDefault="00497CC2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3B92454A" w14:textId="7777777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1FB409E4" w:rsidR="009C2AB3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54BB4">
        <w:rPr>
          <w:rFonts w:ascii="Noto Sans" w:hAnsi="Noto Sans" w:cs="Noto Sans"/>
          <w:sz w:val="20"/>
          <w:szCs w:val="20"/>
        </w:rPr>
        <w:br/>
        <w:t>zákazky v € bez DPH</w:t>
      </w:r>
      <w:r w:rsidR="009115E5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(</w:t>
      </w:r>
      <w:r w:rsidR="000A3776" w:rsidRPr="00654BB4">
        <w:rPr>
          <w:rFonts w:ascii="Noto Sans" w:hAnsi="Noto Sans" w:cs="Noto Sans"/>
          <w:sz w:val="20"/>
          <w:szCs w:val="20"/>
        </w:rPr>
        <w:t>Cenová ponuka</w:t>
      </w:r>
      <w:r w:rsidR="00484FD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podľa Prílohy č.</w:t>
      </w:r>
      <w:r w:rsidR="000D2A06" w:rsidRPr="00654BB4">
        <w:rPr>
          <w:rFonts w:ascii="Noto Sans" w:hAnsi="Noto Sans" w:cs="Noto Sans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>).</w:t>
      </w:r>
    </w:p>
    <w:p w14:paraId="4E6E6C7A" w14:textId="77777777" w:rsidR="009C2AB3" w:rsidRPr="00654BB4" w:rsidRDefault="009C2AB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654BB4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požiadaviek na predmet zákazky u uchádzača, ktorý sa umiestnil na prvom mieste v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poradí, z hľadiska uplatnenia kritéria na vyhodnotenie ponúk.</w:t>
      </w:r>
    </w:p>
    <w:p w14:paraId="3839A5C6" w14:textId="450338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</w:t>
      </w:r>
      <w:r w:rsidR="009C2AB3" w:rsidRPr="00654BB4">
        <w:rPr>
          <w:rFonts w:ascii="Noto Sans" w:hAnsi="Noto Sans" w:cs="Noto Sans"/>
          <w:bCs/>
          <w:sz w:val="20"/>
          <w:szCs w:val="20"/>
        </w:rPr>
        <w:t> </w:t>
      </w:r>
      <w:r w:rsidRPr="00654BB4">
        <w:rPr>
          <w:rFonts w:ascii="Noto Sans" w:hAnsi="Noto Sans" w:cs="Noto Sans"/>
          <w:bCs/>
          <w:sz w:val="20"/>
          <w:szCs w:val="20"/>
        </w:rPr>
        <w:t>tejto Výzve, verejný obstarávateľ elektronicky požiada uchádzača, ktorý sa umiestnil na prvom mieste v systéme JOSEPHINE prostredníctvo</w:t>
      </w:r>
      <w:r w:rsidR="006A4E57" w:rsidRPr="00654BB4">
        <w:rPr>
          <w:rFonts w:ascii="Noto Sans" w:hAnsi="Noto Sans" w:cs="Noto Sans"/>
          <w:bCs/>
          <w:sz w:val="20"/>
          <w:szCs w:val="20"/>
        </w:rPr>
        <w:t>m</w:t>
      </w:r>
      <w:r w:rsidRPr="00654BB4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</w:t>
      </w:r>
    </w:p>
    <w:p w14:paraId="16997439" w14:textId="780D38F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66D04A9D" w14:textId="77777777" w:rsidR="000D2A06" w:rsidRPr="00654BB4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názvom „Oznámenie o vylúčení“, ktorú elektronicky doručí v systéme JOSEPHINE prostredníctvom okna „KOMUNIKÁCIA“. O doručení správy bude uchádzač informovaný aj prostredníctvom notifikačného e-mailu</w:t>
      </w:r>
      <w:r w:rsidR="000D2A06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77777777" w:rsidR="005C5C43" w:rsidRPr="00654BB4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654BB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654BB4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42AEDFC" w14:textId="76FF0D7F" w:rsidR="00DE597D" w:rsidRPr="00654BB4" w:rsidRDefault="00DE597D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 úspešným uchádzačom bude uzatvorená Zmluva</w:t>
      </w:r>
      <w:r w:rsidR="003D1A0D" w:rsidRPr="00654BB4">
        <w:rPr>
          <w:rFonts w:ascii="Noto Sans" w:hAnsi="Noto Sans" w:cs="Noto Sans"/>
          <w:sz w:val="20"/>
          <w:szCs w:val="20"/>
        </w:rPr>
        <w:t xml:space="preserve"> o dielo</w:t>
      </w:r>
      <w:r w:rsidR="000B677C" w:rsidRPr="00654BB4">
        <w:rPr>
          <w:rFonts w:ascii="Noto Sans" w:hAnsi="Noto Sans" w:cs="Noto Sans"/>
        </w:rPr>
        <w:t xml:space="preserve"> </w:t>
      </w:r>
      <w:r w:rsidR="000B677C" w:rsidRPr="00654BB4">
        <w:rPr>
          <w:rFonts w:ascii="Noto Sans" w:hAnsi="Noto Sans" w:cs="Noto Sans"/>
          <w:sz w:val="20"/>
          <w:szCs w:val="20"/>
        </w:rPr>
        <w:t>na uskutočnenie stavebných prác</w:t>
      </w:r>
      <w:r w:rsidR="003D1A0D" w:rsidRPr="00654BB4">
        <w:rPr>
          <w:rFonts w:ascii="Noto Sans" w:hAnsi="Noto Sans" w:cs="Noto Sans"/>
          <w:sz w:val="20"/>
          <w:szCs w:val="20"/>
        </w:rPr>
        <w:t>.</w:t>
      </w:r>
    </w:p>
    <w:p w14:paraId="53D97EED" w14:textId="77777777" w:rsidR="00CB62A6" w:rsidRPr="00654BB4" w:rsidRDefault="00CB62A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782E6D" w14:textId="0C655FF5" w:rsidR="00DE597D" w:rsidRPr="00654BB4" w:rsidRDefault="00DE597D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Verejný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>obstarávateľ v súlade s §</w:t>
      </w:r>
      <w:r w:rsidR="000D2A06" w:rsidRPr="00654BB4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 xml:space="preserve">11 </w:t>
      </w:r>
      <w:proofErr w:type="spellStart"/>
      <w:r w:rsidR="000D2A06" w:rsidRPr="00654BB4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</w:t>
      </w:r>
      <w:r w:rsidR="009C2AB3" w:rsidRPr="00654BB4">
        <w:rPr>
          <w:rFonts w:ascii="Noto Sans" w:hAnsi="Noto Sans" w:cs="Noto Sans"/>
          <w:color w:val="000000"/>
          <w:sz w:val="20"/>
          <w:szCs w:val="20"/>
        </w:rPr>
        <w:t> </w:t>
      </w:r>
      <w:r w:rsidRPr="00654BB4">
        <w:rPr>
          <w:rFonts w:ascii="Noto Sans" w:hAnsi="Noto Sans" w:cs="Noto Sans"/>
          <w:color w:val="000000"/>
          <w:sz w:val="20"/>
          <w:szCs w:val="20"/>
        </w:rPr>
        <w:t xml:space="preserve">registri partnerov verejného sektora (ďalej len </w:t>
      </w:r>
      <w:r w:rsidR="00484FD2" w:rsidRPr="00654BB4">
        <w:rPr>
          <w:rFonts w:ascii="Noto Sans" w:hAnsi="Noto Sans" w:cs="Noto Sans"/>
          <w:color w:val="000000"/>
          <w:sz w:val="20"/>
          <w:szCs w:val="20"/>
        </w:rPr>
        <w:t>,,</w:t>
      </w:r>
      <w:r w:rsidRPr="00654BB4">
        <w:rPr>
          <w:rFonts w:ascii="Noto Sans" w:hAnsi="Noto Sans" w:cs="Noto Sans"/>
          <w:color w:val="000000"/>
          <w:sz w:val="20"/>
          <w:szCs w:val="20"/>
        </w:rPr>
        <w:t>RPVS</w:t>
      </w:r>
      <w:r w:rsidR="00484FD2" w:rsidRPr="00654BB4">
        <w:rPr>
          <w:rFonts w:ascii="Noto Sans" w:hAnsi="Noto Sans" w:cs="Noto Sans"/>
          <w:color w:val="000000"/>
          <w:sz w:val="20"/>
          <w:szCs w:val="20"/>
        </w:rPr>
        <w:t>“</w:t>
      </w:r>
      <w:r w:rsidRPr="00654BB4">
        <w:rPr>
          <w:rFonts w:ascii="Noto Sans" w:hAnsi="Noto Sans" w:cs="Noto Sans"/>
          <w:color w:val="000000"/>
          <w:sz w:val="20"/>
          <w:szCs w:val="20"/>
        </w:rPr>
        <w:t>) a nie je zapísaný v RPVS. Vyššie uvedená požiadavka vyplýva § 2 ods.</w:t>
      </w:r>
      <w:r w:rsidR="00484FD2" w:rsidRPr="00654BB4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>2 zákona č.</w:t>
      </w:r>
      <w:r w:rsidR="00484FD2" w:rsidRPr="00654BB4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>315/2016 Z.</w:t>
      </w:r>
      <w:r w:rsidR="00484FD2" w:rsidRPr="00654BB4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 xml:space="preserve">z. </w:t>
      </w:r>
      <w:r w:rsidR="00484FD2" w:rsidRPr="00654BB4">
        <w:rPr>
          <w:rFonts w:ascii="Noto Sans" w:hAnsi="Noto Sans" w:cs="Noto Sans"/>
          <w:color w:val="000000"/>
          <w:sz w:val="20"/>
          <w:szCs w:val="20"/>
        </w:rPr>
        <w:t>o</w:t>
      </w:r>
      <w:r w:rsidRPr="00654BB4">
        <w:rPr>
          <w:rFonts w:ascii="Noto Sans" w:hAnsi="Noto Sans" w:cs="Noto Sans"/>
          <w:color w:val="000000"/>
          <w:sz w:val="20"/>
          <w:szCs w:val="20"/>
        </w:rPr>
        <w:t xml:space="preserve"> registri partnerov verejného sektora pri jednorazovom poskytnutí finančných prostriedkov prevyšujúcich sumu 100.000 Eur alebo v úhrne sumu 250.000 Eur kalendárnom roku, ak ide o opakujúce sa plnenie.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048FE2C" w14:textId="77777777" w:rsidR="00086F21" w:rsidRPr="00654BB4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3D729D4E" w14:textId="77777777" w:rsidR="00484FD2" w:rsidRPr="00654BB4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podať námietky. Všetky výdavky spojené s prípravou a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prípade, že verejný obstarávateľ neprijme ani jednu z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654BB4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654BB4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Pr="00654BB4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ani jedna z predložených ponúk nebude zodpovedať určeným požiadavkám verejného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obstarávateľa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654BB4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Schválil:</w:t>
      </w:r>
    </w:p>
    <w:p w14:paraId="2DB4ACCA" w14:textId="3220D306" w:rsidR="00C03E92" w:rsidRPr="00654BB4" w:rsidRDefault="00C03E92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04C6020" w14:textId="77777777" w:rsidR="00136952" w:rsidRPr="00654BB4" w:rsidRDefault="00136952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654BB4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>.</w:t>
      </w:r>
    </w:p>
    <w:p w14:paraId="1918EBB0" w14:textId="7D108862" w:rsidR="009C2AB3" w:rsidRPr="00654BB4" w:rsidRDefault="00C03E92" w:rsidP="00136952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DE597D" w:rsidRPr="00654BB4">
        <w:rPr>
          <w:rFonts w:ascii="Noto Sans" w:hAnsi="Noto Sans" w:cs="Noto Sans"/>
          <w:sz w:val="20"/>
          <w:szCs w:val="20"/>
        </w:rPr>
        <w:t>Ing. Peter Vrábel,</w:t>
      </w:r>
      <w:r w:rsidR="00AE16C2" w:rsidRPr="00654BB4">
        <w:rPr>
          <w:rFonts w:ascii="Noto Sans" w:hAnsi="Noto Sans" w:cs="Noto Sans"/>
          <w:sz w:val="20"/>
          <w:szCs w:val="20"/>
        </w:rPr>
        <w:t xml:space="preserve"> PhD.</w:t>
      </w:r>
      <w:r w:rsidR="00DE597D" w:rsidRPr="00654BB4">
        <w:rPr>
          <w:rFonts w:ascii="Noto Sans" w:hAnsi="Noto Sans" w:cs="Noto Sans"/>
          <w:sz w:val="20"/>
          <w:szCs w:val="20"/>
        </w:rPr>
        <w:t xml:space="preserve"> konateľ</w:t>
      </w:r>
    </w:p>
    <w:p w14:paraId="6D8AE9E6" w14:textId="3144024C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A665F60" w14:textId="110803BE" w:rsidR="00654BB4" w:rsidRPr="00654BB4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 1 – Cenový návrh</w:t>
      </w:r>
    </w:p>
    <w:p w14:paraId="5B57E684" w14:textId="06BF4D39" w:rsidR="00206E9D" w:rsidRPr="00654BB4" w:rsidRDefault="00206E9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</w:t>
      </w:r>
      <w:r w:rsidR="00654BB4" w:rsidRPr="00654BB4">
        <w:rPr>
          <w:rFonts w:ascii="Noto Sans" w:hAnsi="Noto Sans" w:cs="Noto Sans"/>
          <w:sz w:val="20"/>
          <w:szCs w:val="20"/>
        </w:rPr>
        <w:t>2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967D23">
        <w:rPr>
          <w:rFonts w:ascii="Noto Sans" w:hAnsi="Noto Sans" w:cs="Noto Sans"/>
          <w:sz w:val="20"/>
          <w:szCs w:val="20"/>
        </w:rPr>
        <w:t>Požiadavky na technické parametre</w:t>
      </w:r>
    </w:p>
    <w:p w14:paraId="2FC1B81D" w14:textId="68D04396" w:rsidR="00872E79" w:rsidRPr="00654BB4" w:rsidRDefault="00DE597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206E9D" w:rsidRPr="00654BB4">
        <w:rPr>
          <w:rFonts w:ascii="Noto Sans" w:hAnsi="Noto Sans" w:cs="Noto Sans"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FF1FFF" w:rsidRPr="00654BB4">
        <w:rPr>
          <w:rFonts w:ascii="Noto Sans" w:hAnsi="Noto Sans" w:cs="Noto Sans"/>
          <w:sz w:val="20"/>
          <w:szCs w:val="20"/>
        </w:rPr>
        <w:t>Č</w:t>
      </w:r>
      <w:r w:rsidRPr="00654BB4">
        <w:rPr>
          <w:rFonts w:ascii="Noto Sans" w:hAnsi="Noto Sans" w:cs="Noto Sans"/>
          <w:sz w:val="20"/>
          <w:szCs w:val="20"/>
        </w:rPr>
        <w:t xml:space="preserve">estné vyhlásenie uchádzača, že nemá zákaz účasti vo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7B2727C8" w14:textId="35C8CFC1" w:rsidR="005A1A2B" w:rsidRDefault="00C72DAC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206E9D" w:rsidRPr="00654BB4">
        <w:rPr>
          <w:rFonts w:ascii="Noto Sans" w:hAnsi="Noto Sans" w:cs="Noto Sans"/>
          <w:sz w:val="20"/>
          <w:szCs w:val="20"/>
        </w:rPr>
        <w:t>4</w:t>
      </w:r>
      <w:r w:rsidRPr="00654BB4">
        <w:rPr>
          <w:rFonts w:ascii="Noto Sans" w:hAnsi="Noto Sans" w:cs="Noto Sans"/>
          <w:sz w:val="20"/>
          <w:szCs w:val="20"/>
        </w:rPr>
        <w:t xml:space="preserve"> – Návrh Zmluvy o</w:t>
      </w:r>
      <w:r w:rsidR="00967D23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dielo</w:t>
      </w:r>
    </w:p>
    <w:p w14:paraId="18D5EBBC" w14:textId="793A4F9B" w:rsidR="00654BB4" w:rsidRPr="00654BB4" w:rsidRDefault="00967D23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5 – Projektová dokumentácia</w:t>
      </w:r>
    </w:p>
    <w:sectPr w:rsidR="00654BB4" w:rsidRPr="00654BB4" w:rsidSect="0006477C"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43DBD"/>
    <w:rsid w:val="0004529D"/>
    <w:rsid w:val="0006477C"/>
    <w:rsid w:val="00077CE8"/>
    <w:rsid w:val="00086F21"/>
    <w:rsid w:val="00094C25"/>
    <w:rsid w:val="00094D54"/>
    <w:rsid w:val="00096E88"/>
    <w:rsid w:val="000A058E"/>
    <w:rsid w:val="000A3776"/>
    <w:rsid w:val="000A7BAE"/>
    <w:rsid w:val="000B677C"/>
    <w:rsid w:val="000C66A0"/>
    <w:rsid w:val="000D2A06"/>
    <w:rsid w:val="000D4ADD"/>
    <w:rsid w:val="000F0D42"/>
    <w:rsid w:val="000F78D9"/>
    <w:rsid w:val="0010385B"/>
    <w:rsid w:val="001125F3"/>
    <w:rsid w:val="00112647"/>
    <w:rsid w:val="00113729"/>
    <w:rsid w:val="00136952"/>
    <w:rsid w:val="00150D42"/>
    <w:rsid w:val="00154879"/>
    <w:rsid w:val="00183D84"/>
    <w:rsid w:val="001854CC"/>
    <w:rsid w:val="00185CE7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260E"/>
    <w:rsid w:val="00244A6A"/>
    <w:rsid w:val="00252C62"/>
    <w:rsid w:val="00262657"/>
    <w:rsid w:val="0027363F"/>
    <w:rsid w:val="00280E8B"/>
    <w:rsid w:val="00293E17"/>
    <w:rsid w:val="002967C9"/>
    <w:rsid w:val="002A3E28"/>
    <w:rsid w:val="002B165D"/>
    <w:rsid w:val="002B4E2D"/>
    <w:rsid w:val="002C4102"/>
    <w:rsid w:val="002D3629"/>
    <w:rsid w:val="002D53CA"/>
    <w:rsid w:val="002F7AEA"/>
    <w:rsid w:val="00304F19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2A2"/>
    <w:rsid w:val="003B591A"/>
    <w:rsid w:val="003B7B21"/>
    <w:rsid w:val="003D1A0D"/>
    <w:rsid w:val="003E2158"/>
    <w:rsid w:val="0040247D"/>
    <w:rsid w:val="004102D4"/>
    <w:rsid w:val="00410C31"/>
    <w:rsid w:val="004113FD"/>
    <w:rsid w:val="00411E7F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54BB4"/>
    <w:rsid w:val="0066353D"/>
    <w:rsid w:val="00677612"/>
    <w:rsid w:val="006952B7"/>
    <w:rsid w:val="006A3FF1"/>
    <w:rsid w:val="006A4E57"/>
    <w:rsid w:val="006A7B3A"/>
    <w:rsid w:val="006B7F11"/>
    <w:rsid w:val="006D5403"/>
    <w:rsid w:val="0070199A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34537"/>
    <w:rsid w:val="009360CD"/>
    <w:rsid w:val="0094449C"/>
    <w:rsid w:val="009454DA"/>
    <w:rsid w:val="00967D23"/>
    <w:rsid w:val="009770B9"/>
    <w:rsid w:val="00991E7B"/>
    <w:rsid w:val="009952D8"/>
    <w:rsid w:val="009A0A88"/>
    <w:rsid w:val="009C19C0"/>
    <w:rsid w:val="009C2617"/>
    <w:rsid w:val="009C2AB3"/>
    <w:rsid w:val="009D2BE4"/>
    <w:rsid w:val="009F19D3"/>
    <w:rsid w:val="009F43F4"/>
    <w:rsid w:val="00A00CB0"/>
    <w:rsid w:val="00A04F12"/>
    <w:rsid w:val="00A13E1E"/>
    <w:rsid w:val="00A25585"/>
    <w:rsid w:val="00A372C1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B203E2"/>
    <w:rsid w:val="00B361EE"/>
    <w:rsid w:val="00B365D9"/>
    <w:rsid w:val="00B402BE"/>
    <w:rsid w:val="00B50EEA"/>
    <w:rsid w:val="00B52618"/>
    <w:rsid w:val="00B66DE7"/>
    <w:rsid w:val="00B80BAC"/>
    <w:rsid w:val="00BB014A"/>
    <w:rsid w:val="00BB5E16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C23F8"/>
    <w:rsid w:val="00CC5203"/>
    <w:rsid w:val="00CD3C2C"/>
    <w:rsid w:val="00CF0FC9"/>
    <w:rsid w:val="00CF6631"/>
    <w:rsid w:val="00D1212F"/>
    <w:rsid w:val="00D123D3"/>
    <w:rsid w:val="00D1640C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6C92"/>
    <w:rsid w:val="00E15F0C"/>
    <w:rsid w:val="00E23CB5"/>
    <w:rsid w:val="00E332DF"/>
    <w:rsid w:val="00E4169B"/>
    <w:rsid w:val="00E44CF1"/>
    <w:rsid w:val="00E70174"/>
    <w:rsid w:val="00E80838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2111"/>
    <w:rsid w:val="00F44195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bazik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108</cp:revision>
  <cp:lastPrinted>2020-10-08T07:34:00Z</cp:lastPrinted>
  <dcterms:created xsi:type="dcterms:W3CDTF">2020-10-06T06:58:00Z</dcterms:created>
  <dcterms:modified xsi:type="dcterms:W3CDTF">2021-06-21T12:27:00Z</dcterms:modified>
</cp:coreProperties>
</file>