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BC9B862" w14:textId="6E49F750" w:rsidR="00783B3C" w:rsidRPr="00235095" w:rsidRDefault="00783B3C" w:rsidP="008549D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C800F6" w:rsidRPr="00C800F6">
        <w:rPr>
          <w:rFonts w:asciiTheme="minorHAnsi" w:hAnsiTheme="minorHAnsi" w:cstheme="minorHAnsi"/>
          <w:b/>
          <w:bCs/>
          <w:sz w:val="22"/>
          <w:szCs w:val="22"/>
        </w:rPr>
        <w:t>Stavebné práce na cintorínoch a objektoch v správe MARIANUM - Pohrebníctvo mesta Bratislavy</w:t>
      </w:r>
      <w:r w:rsidR="008549D9" w:rsidRPr="00235095">
        <w:rPr>
          <w:rFonts w:asciiTheme="minorHAnsi" w:hAnsiTheme="minorHAnsi" w:cstheme="minorHAnsi"/>
          <w:b/>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0FD37276" w14:textId="77777777" w:rsidR="009A2C0C" w:rsidRDefault="00F51370" w:rsidP="009A2C0C">
      <w:pPr>
        <w:pStyle w:val="Odsekzoznamu"/>
        <w:spacing w:before="100" w:beforeAutospacing="1" w:after="100" w:afterAutospacing="1"/>
        <w:ind w:left="1276" w:hanging="992"/>
        <w:jc w:val="both"/>
        <w:rPr>
          <w:rFonts w:eastAsia="Times New Roman" w:cstheme="minorHAnsi"/>
          <w:b/>
          <w:bCs/>
          <w:lang w:eastAsia="sk-SK"/>
        </w:rPr>
      </w:pPr>
      <w:r w:rsidRPr="00235095">
        <w:rPr>
          <w:rFonts w:cstheme="minorHAnsi"/>
        </w:rPr>
        <w:t>Názov:</w:t>
      </w:r>
      <w:r w:rsidRPr="00235095">
        <w:rPr>
          <w:rFonts w:cstheme="minorHAnsi"/>
        </w:rPr>
        <w:tab/>
      </w:r>
      <w:r w:rsidR="009A2C0C" w:rsidRPr="009A2C0C">
        <w:rPr>
          <w:rFonts w:eastAsia="Times New Roman" w:cstheme="minorHAnsi"/>
          <w:b/>
          <w:bCs/>
          <w:lang w:eastAsia="sk-SK"/>
        </w:rPr>
        <w:t>Rekonštrukcia Pamätníka 497 židovských obetí a 13 hrobových miest</w:t>
      </w:r>
    </w:p>
    <w:p w14:paraId="0C658E96" w14:textId="77777777" w:rsidR="009A2C0C" w:rsidRDefault="009A2C0C" w:rsidP="009A2C0C">
      <w:pPr>
        <w:pStyle w:val="Odsekzoznamu"/>
        <w:spacing w:before="100" w:beforeAutospacing="1" w:after="100" w:afterAutospacing="1"/>
        <w:ind w:left="1276" w:hanging="992"/>
        <w:jc w:val="both"/>
        <w:rPr>
          <w:rFonts w:eastAsia="Times New Roman" w:cstheme="minorHAnsi"/>
          <w:b/>
          <w:bCs/>
          <w:lang w:eastAsia="sk-SK"/>
        </w:rPr>
      </w:pPr>
    </w:p>
    <w:p w14:paraId="0D98CD2D" w14:textId="3DDAC287" w:rsidR="00F51370" w:rsidRPr="00235095" w:rsidRDefault="00F51370" w:rsidP="009A2C0C">
      <w:pPr>
        <w:pStyle w:val="Odsekzoznamu"/>
        <w:spacing w:before="100" w:beforeAutospacing="1" w:after="100" w:afterAutospacing="1"/>
        <w:ind w:left="1276" w:hanging="992"/>
        <w:jc w:val="both"/>
        <w:rPr>
          <w:rFonts w:cstheme="minorHAnsi"/>
        </w:rPr>
      </w:pPr>
      <w:r w:rsidRPr="00235095">
        <w:rPr>
          <w:rFonts w:cstheme="minorHAnsi"/>
        </w:rPr>
        <w:t xml:space="preserve">CPV: </w:t>
      </w:r>
    </w:p>
    <w:p w14:paraId="07700155" w14:textId="1EEAB789" w:rsidR="009A2C0C" w:rsidRPr="000E20A1" w:rsidRDefault="009A2C0C" w:rsidP="009A2C0C">
      <w:pPr>
        <w:spacing w:after="0"/>
        <w:ind w:left="284"/>
        <w:jc w:val="both"/>
        <w:rPr>
          <w:rFonts w:cstheme="minorHAnsi"/>
        </w:rPr>
      </w:pPr>
      <w:r w:rsidRPr="000E20A1">
        <w:rPr>
          <w:rFonts w:cstheme="minorHAnsi"/>
        </w:rPr>
        <w:t>45262600-7 Rôzne špecializované remeselné stavebné práce</w:t>
      </w:r>
    </w:p>
    <w:p w14:paraId="6E1D8F0C" w14:textId="77777777" w:rsidR="009A2C0C" w:rsidRPr="000E20A1" w:rsidRDefault="009A2C0C" w:rsidP="009A2C0C">
      <w:pPr>
        <w:spacing w:after="0"/>
        <w:ind w:left="284"/>
        <w:jc w:val="both"/>
        <w:rPr>
          <w:rFonts w:cstheme="minorHAnsi"/>
        </w:rPr>
      </w:pPr>
      <w:r w:rsidRPr="000E20A1">
        <w:rPr>
          <w:rFonts w:cstheme="minorHAnsi"/>
        </w:rPr>
        <w:t xml:space="preserve">45453100-8 Renovačné práce </w:t>
      </w:r>
    </w:p>
    <w:p w14:paraId="7F05B1D9" w14:textId="77777777" w:rsidR="009A2C0C" w:rsidRPr="000E20A1" w:rsidRDefault="009A2C0C" w:rsidP="009A2C0C">
      <w:pPr>
        <w:spacing w:after="0"/>
        <w:ind w:left="284"/>
        <w:jc w:val="both"/>
        <w:rPr>
          <w:rFonts w:cstheme="minorHAnsi"/>
        </w:rPr>
      </w:pPr>
      <w:r w:rsidRPr="000E20A1">
        <w:rPr>
          <w:rFonts w:cstheme="minorHAnsi"/>
        </w:rPr>
        <w:t xml:space="preserve">45454000-4 Obnovovacie práce </w:t>
      </w:r>
    </w:p>
    <w:p w14:paraId="1884C0A7" w14:textId="77777777" w:rsidR="009A2C0C" w:rsidRPr="000E20A1" w:rsidRDefault="009A2C0C" w:rsidP="009A2C0C">
      <w:pPr>
        <w:spacing w:after="0"/>
        <w:ind w:left="284"/>
        <w:jc w:val="both"/>
        <w:rPr>
          <w:rFonts w:cstheme="minorHAnsi"/>
        </w:rPr>
      </w:pPr>
      <w:r w:rsidRPr="000E20A1">
        <w:rPr>
          <w:rFonts w:cstheme="minorHAnsi"/>
        </w:rPr>
        <w:t>45454100-5 Reštaurovanie</w:t>
      </w:r>
    </w:p>
    <w:p w14:paraId="37DF9305" w14:textId="77777777" w:rsidR="009A2C0C" w:rsidRPr="000E20A1" w:rsidRDefault="009A2C0C" w:rsidP="009A2C0C">
      <w:pPr>
        <w:spacing w:after="0"/>
        <w:ind w:left="284"/>
        <w:jc w:val="both"/>
        <w:rPr>
          <w:rFonts w:cstheme="minorHAnsi"/>
        </w:rPr>
      </w:pPr>
      <w:r w:rsidRPr="000E20A1">
        <w:rPr>
          <w:rFonts w:cstheme="minorHAnsi"/>
        </w:rPr>
        <w:t>45453000-7 Generálne opravy a renovačné práce</w:t>
      </w:r>
    </w:p>
    <w:p w14:paraId="1718042E" w14:textId="77777777" w:rsidR="009A2C0C" w:rsidRDefault="009A2C0C" w:rsidP="009A2C0C">
      <w:pPr>
        <w:spacing w:after="0"/>
        <w:ind w:left="284"/>
        <w:jc w:val="both"/>
      </w:pPr>
      <w:r>
        <w:t xml:space="preserve">90512000-9 Služby na prepravu odpadu </w:t>
      </w:r>
    </w:p>
    <w:p w14:paraId="0F6518A1" w14:textId="77777777" w:rsidR="009A2C0C" w:rsidRDefault="009A2C0C" w:rsidP="009A2C0C">
      <w:pPr>
        <w:spacing w:after="0"/>
        <w:ind w:left="284"/>
        <w:jc w:val="both"/>
      </w:pPr>
      <w:r>
        <w:t>90513000-6 Služby na spracovanie a likvidáciu nie nebezpečného odpadu</w:t>
      </w:r>
    </w:p>
    <w:p w14:paraId="346E89A4" w14:textId="77777777" w:rsidR="009A2C0C" w:rsidRDefault="009A2C0C" w:rsidP="009A2C0C">
      <w:pPr>
        <w:pStyle w:val="Odsekzoznamu"/>
        <w:spacing w:line="240" w:lineRule="auto"/>
        <w:ind w:left="284"/>
        <w:rPr>
          <w:rFonts w:eastAsia="Times New Roman" w:cs="Times New Roman"/>
          <w:b/>
          <w:bCs/>
          <w:sz w:val="18"/>
          <w:lang w:eastAsia="sk-SK"/>
        </w:rPr>
      </w:pPr>
      <w:r>
        <w:t>60000000-8 Dopravné služby (bez prepravy odpadu)</w:t>
      </w:r>
    </w:p>
    <w:p w14:paraId="3DA833B6" w14:textId="566D0B62" w:rsidR="008840A1" w:rsidRPr="00235095" w:rsidRDefault="008840A1" w:rsidP="00F825E7">
      <w:pPr>
        <w:spacing w:after="0"/>
        <w:ind w:firstLine="142"/>
        <w:jc w:val="both"/>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1FD7233E" w14:textId="5E5C8346" w:rsidR="009A2C0C" w:rsidRDefault="00C800F6" w:rsidP="00C800F6">
      <w:pPr>
        <w:tabs>
          <w:tab w:val="left" w:pos="142"/>
          <w:tab w:val="left" w:pos="284"/>
          <w:tab w:val="left" w:pos="709"/>
        </w:tabs>
        <w:autoSpaceDE w:val="0"/>
        <w:autoSpaceDN w:val="0"/>
        <w:spacing w:after="0"/>
        <w:ind w:left="284"/>
        <w:jc w:val="both"/>
        <w:textAlignment w:val="baseline"/>
        <w:rPr>
          <w:rFonts w:eastAsia="Times New Roman" w:cstheme="minorHAnsi"/>
          <w:lang w:eastAsia="sk-SK"/>
        </w:rPr>
      </w:pPr>
      <w:r w:rsidRPr="00B65318">
        <w:rPr>
          <w:rFonts w:cstheme="minorHAnsi"/>
          <w:lang w:eastAsia="sk-SK"/>
        </w:rPr>
        <w:t>Predmetom zákazky</w:t>
      </w:r>
      <w:r w:rsidRPr="00B65318">
        <w:rPr>
          <w:rFonts w:cstheme="minorHAnsi"/>
          <w:b/>
          <w:bCs/>
          <w:lang w:eastAsia="sk-SK"/>
        </w:rPr>
        <w:t xml:space="preserve"> </w:t>
      </w:r>
      <w:r w:rsidRPr="0059009F">
        <w:rPr>
          <w:rFonts w:cstheme="minorHAnsi"/>
          <w:lang w:eastAsia="sk-SK"/>
        </w:rPr>
        <w:t xml:space="preserve">je Rekonštrukcia </w:t>
      </w:r>
      <w:r w:rsidR="009A2C0C" w:rsidRPr="009A2C0C">
        <w:rPr>
          <w:rFonts w:eastAsia="Times New Roman" w:cstheme="minorHAnsi"/>
          <w:b/>
          <w:bCs/>
          <w:lang w:eastAsia="sk-SK"/>
        </w:rPr>
        <w:t>Pamätníka 497 židovských obetí a 13 hrobových miest</w:t>
      </w:r>
      <w:r w:rsidR="008879E6" w:rsidRPr="00195F1E">
        <w:rPr>
          <w:rFonts w:eastAsia="Times New Roman" w:cstheme="minorHAnsi"/>
          <w:lang w:eastAsia="sk-SK"/>
        </w:rPr>
        <w:t xml:space="preserve">  na pozemku </w:t>
      </w:r>
      <w:r w:rsidR="00BD658A">
        <w:rPr>
          <w:rFonts w:eastAsia="Times New Roman" w:cstheme="minorHAnsi"/>
          <w:lang w:eastAsia="sk-SK"/>
        </w:rPr>
        <w:t xml:space="preserve"> </w:t>
      </w:r>
      <w:r w:rsidR="008879E6" w:rsidRPr="00195F1E">
        <w:rPr>
          <w:rFonts w:eastAsia="Times New Roman" w:cstheme="minorHAnsi"/>
          <w:lang w:eastAsia="sk-SK"/>
        </w:rPr>
        <w:t xml:space="preserve">Cintorína  </w:t>
      </w:r>
      <w:r w:rsidR="009A2C0C">
        <w:rPr>
          <w:rFonts w:eastAsia="Times New Roman" w:cstheme="minorHAnsi"/>
          <w:lang w:eastAsia="sk-SK"/>
        </w:rPr>
        <w:t>Petržalka.</w:t>
      </w:r>
    </w:p>
    <w:p w14:paraId="1F9ED896" w14:textId="77777777" w:rsidR="003055E7" w:rsidRDefault="003055E7" w:rsidP="003055E7">
      <w:pPr>
        <w:spacing w:after="0"/>
        <w:ind w:left="284"/>
        <w:jc w:val="both"/>
        <w:rPr>
          <w:rFonts w:cstheme="minorHAnsi"/>
          <w:color w:val="FF0000"/>
          <w:lang w:eastAsia="sk-SK"/>
        </w:rPr>
      </w:pPr>
      <w:r>
        <w:rPr>
          <w:rFonts w:cstheme="minorHAnsi"/>
        </w:rPr>
        <w:t xml:space="preserve">V rámci súčinnosti pri uzatváraní zmluvy preukáže úspešný uchádzač </w:t>
      </w:r>
      <w:r>
        <w:t>spôsobilosť : referencie z podobných stavieb, kamenársky výučný list, vlastné výrobné kamenárske kapacity.</w:t>
      </w:r>
    </w:p>
    <w:p w14:paraId="1E25043A" w14:textId="77777777" w:rsidR="003055E7" w:rsidRDefault="003055E7" w:rsidP="00C800F6">
      <w:pPr>
        <w:tabs>
          <w:tab w:val="left" w:pos="142"/>
          <w:tab w:val="left" w:pos="284"/>
          <w:tab w:val="left" w:pos="709"/>
        </w:tabs>
        <w:autoSpaceDE w:val="0"/>
        <w:autoSpaceDN w:val="0"/>
        <w:spacing w:after="0"/>
        <w:ind w:left="284"/>
        <w:jc w:val="both"/>
        <w:textAlignment w:val="baseline"/>
        <w:rPr>
          <w:rFonts w:eastAsia="Times New Roman" w:cstheme="minorHAnsi"/>
          <w:lang w:eastAsia="sk-SK"/>
        </w:rPr>
      </w:pPr>
    </w:p>
    <w:p w14:paraId="5E12C1C3" w14:textId="16B5B5EB" w:rsidR="00F51370" w:rsidRPr="00235095" w:rsidRDefault="00C800F6" w:rsidP="009A2C0C">
      <w:pPr>
        <w:tabs>
          <w:tab w:val="left" w:pos="142"/>
          <w:tab w:val="left" w:pos="284"/>
          <w:tab w:val="left" w:pos="709"/>
        </w:tabs>
        <w:autoSpaceDE w:val="0"/>
        <w:autoSpaceDN w:val="0"/>
        <w:spacing w:after="0"/>
        <w:ind w:left="284"/>
        <w:jc w:val="both"/>
        <w:textAlignment w:val="baseline"/>
        <w:rPr>
          <w:rFonts w:cstheme="minorHAnsi"/>
          <w:bCs/>
        </w:rPr>
      </w:pPr>
      <w:r w:rsidRPr="0059009F">
        <w:rPr>
          <w:rFonts w:cstheme="minorHAnsi"/>
          <w:lang w:eastAsia="sk-SK"/>
        </w:rPr>
        <w:t xml:space="preserve"> Podrobne je predmet zákazky popísaný v</w:t>
      </w:r>
      <w:r w:rsidR="009A2C0C">
        <w:rPr>
          <w:rFonts w:cstheme="minorHAnsi"/>
          <w:lang w:eastAsia="sk-SK"/>
        </w:rPr>
        <w:t> </w:t>
      </w:r>
      <w:r w:rsidRPr="0059009F">
        <w:rPr>
          <w:rFonts w:cstheme="minorHAnsi"/>
          <w:lang w:eastAsia="sk-SK"/>
        </w:rPr>
        <w:t>technick</w:t>
      </w:r>
      <w:r w:rsidR="009A2C0C">
        <w:rPr>
          <w:rFonts w:cstheme="minorHAnsi"/>
          <w:lang w:eastAsia="sk-SK"/>
        </w:rPr>
        <w:t xml:space="preserve">ej špecifikácií. </w:t>
      </w:r>
      <w:r w:rsidR="00F51370" w:rsidRPr="00235095">
        <w:rPr>
          <w:rFonts w:cstheme="minorHAnsi"/>
          <w:bCs/>
        </w:rPr>
        <w:t>v príloh</w:t>
      </w:r>
      <w:r w:rsidR="009A4585">
        <w:rPr>
          <w:rFonts w:cstheme="minorHAnsi"/>
          <w:bCs/>
        </w:rPr>
        <w:t>e</w:t>
      </w:r>
      <w:r w:rsidR="00F51370" w:rsidRPr="00235095">
        <w:rPr>
          <w:rFonts w:cstheme="minorHAnsi"/>
          <w:bCs/>
        </w:rPr>
        <w:t xml:space="preserve"> č. </w:t>
      </w:r>
      <w:r w:rsidR="009A4585">
        <w:rPr>
          <w:rFonts w:cstheme="minorHAnsi"/>
          <w:bCs/>
        </w:rPr>
        <w:t>2</w:t>
      </w:r>
      <w:r w:rsidR="00F51370"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76C56E7B"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9A2C0C">
        <w:rPr>
          <w:rFonts w:ascii="Calibri" w:eastAsia="Times New Roman" w:hAnsi="Calibri" w:cs="Calibri"/>
          <w:b/>
          <w:bCs/>
          <w:color w:val="000000"/>
          <w:lang w:eastAsia="sk-SK"/>
        </w:rPr>
        <w:t>51</w:t>
      </w:r>
      <w:r w:rsidR="008879E6" w:rsidRPr="007821A4">
        <w:rPr>
          <w:rFonts w:ascii="Calibri" w:eastAsia="Times New Roman" w:hAnsi="Calibri" w:cs="Calibri"/>
          <w:b/>
          <w:bCs/>
          <w:color w:val="000000"/>
          <w:lang w:eastAsia="sk-SK"/>
        </w:rPr>
        <w:t xml:space="preserve"> </w:t>
      </w:r>
      <w:r w:rsidR="009A2C0C">
        <w:rPr>
          <w:rFonts w:ascii="Calibri" w:eastAsia="Times New Roman" w:hAnsi="Calibri" w:cs="Calibri"/>
          <w:b/>
          <w:bCs/>
          <w:color w:val="000000"/>
          <w:lang w:eastAsia="sk-SK"/>
        </w:rPr>
        <w:t>405</w:t>
      </w:r>
      <w:r w:rsidR="008879E6" w:rsidRPr="007821A4">
        <w:rPr>
          <w:rFonts w:ascii="Calibri" w:eastAsia="Times New Roman" w:hAnsi="Calibri" w:cs="Calibri"/>
          <w:b/>
          <w:bCs/>
          <w:color w:val="000000"/>
          <w:lang w:eastAsia="sk-SK"/>
        </w:rPr>
        <w:t>,</w:t>
      </w:r>
      <w:r w:rsidR="009A2C0C">
        <w:rPr>
          <w:rFonts w:ascii="Calibri" w:eastAsia="Times New Roman" w:hAnsi="Calibri" w:cs="Calibri"/>
          <w:b/>
          <w:bCs/>
          <w:color w:val="000000"/>
          <w:lang w:eastAsia="sk-SK"/>
        </w:rPr>
        <w:t>00</w:t>
      </w:r>
      <w:r w:rsidR="008879E6">
        <w:rPr>
          <w:rFonts w:ascii="Calibri" w:eastAsia="Times New Roman" w:hAnsi="Calibri" w:cs="Calibri"/>
          <w:b/>
          <w:bCs/>
          <w:color w:val="000000"/>
          <w:lang w:eastAsia="sk-SK"/>
        </w:rPr>
        <w:t xml:space="preserve">  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42A2862B"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BD658A">
        <w:rPr>
          <w:b/>
        </w:rPr>
        <w:t xml:space="preserve">- </w:t>
      </w:r>
      <w:r w:rsidR="00BD658A" w:rsidRPr="00F46282">
        <w:rPr>
          <w:bCs/>
        </w:rPr>
        <w:t xml:space="preserve">Cintorín </w:t>
      </w:r>
      <w:r w:rsidR="009A2C0C" w:rsidRPr="00F46282">
        <w:rPr>
          <w:bCs/>
        </w:rPr>
        <w:t>Petržalka</w:t>
      </w:r>
      <w:r w:rsidR="00BD658A">
        <w:rPr>
          <w:b/>
        </w:rPr>
        <w:t xml:space="preserve">, </w:t>
      </w:r>
      <w:r w:rsidR="00F46282">
        <w:t>Hrobárska ulica v Bratislave v blízkosti Domu smútku</w:t>
      </w:r>
    </w:p>
    <w:p w14:paraId="7B362C5A" w14:textId="527B5B60"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9A2C0C">
        <w:rPr>
          <w:rFonts w:cstheme="minorHAnsi"/>
        </w:rPr>
        <w:t>9</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67DC9C63" w:rsidR="008840A1" w:rsidRDefault="00F51370" w:rsidP="00F51370">
      <w:pPr>
        <w:ind w:left="284"/>
        <w:jc w:val="both"/>
        <w:rPr>
          <w:rFonts w:cstheme="minorHAnsi"/>
        </w:rPr>
      </w:pPr>
      <w:r w:rsidRPr="00235095">
        <w:rPr>
          <w:rFonts w:cstheme="minorHAnsi"/>
        </w:rPr>
        <w:t xml:space="preserve">Obhliadka priestorov </w:t>
      </w:r>
      <w:r w:rsidR="008840A1" w:rsidRPr="00235095">
        <w:rPr>
          <w:rFonts w:cstheme="minorHAnsi"/>
        </w:rPr>
        <w:t>sa uskutoční v</w:t>
      </w:r>
      <w:r w:rsidR="009A2C0C">
        <w:rPr>
          <w:rFonts w:cstheme="minorHAnsi"/>
        </w:rPr>
        <w:t> </w:t>
      </w:r>
      <w:r w:rsidR="008840A1" w:rsidRPr="00235095">
        <w:rPr>
          <w:rFonts w:cstheme="minorHAnsi"/>
        </w:rPr>
        <w:t>dň</w:t>
      </w:r>
      <w:r w:rsidR="009A2C0C">
        <w:rPr>
          <w:rFonts w:cstheme="minorHAnsi"/>
        </w:rPr>
        <w:t xml:space="preserve">och </w:t>
      </w:r>
      <w:r w:rsidR="00BD658A">
        <w:rPr>
          <w:rFonts w:cstheme="minorHAnsi"/>
        </w:rPr>
        <w:t xml:space="preserve"> </w:t>
      </w:r>
      <w:r w:rsidR="009A2C0C">
        <w:rPr>
          <w:rFonts w:cstheme="minorHAnsi"/>
        </w:rPr>
        <w:t xml:space="preserve">30.6 </w:t>
      </w:r>
      <w:r w:rsidR="00BD658A">
        <w:rPr>
          <w:rFonts w:cstheme="minorHAnsi"/>
        </w:rPr>
        <w:t>.-</w:t>
      </w:r>
      <w:r w:rsidR="00282FE7">
        <w:rPr>
          <w:rFonts w:cstheme="minorHAnsi"/>
        </w:rPr>
        <w:t>2</w:t>
      </w:r>
      <w:r w:rsidR="00BD658A">
        <w:rPr>
          <w:rFonts w:cstheme="minorHAnsi"/>
        </w:rPr>
        <w:t xml:space="preserve">. </w:t>
      </w:r>
      <w:r w:rsidR="009A2C0C">
        <w:rPr>
          <w:rFonts w:cstheme="minorHAnsi"/>
        </w:rPr>
        <w:t>7</w:t>
      </w:r>
      <w:r w:rsidR="00BD658A">
        <w:rPr>
          <w:rFonts w:cstheme="minorHAnsi"/>
        </w:rPr>
        <w:t>. 2021</w:t>
      </w:r>
      <w:r w:rsidR="00BB6F04">
        <w:rPr>
          <w:rFonts w:cstheme="minorHAnsi"/>
        </w:rPr>
        <w:t>.</w:t>
      </w:r>
    </w:p>
    <w:p w14:paraId="4A234BD0" w14:textId="0ECFB5FA" w:rsidR="00BB6F04" w:rsidRPr="00F46282" w:rsidRDefault="00BB6F04" w:rsidP="00F51370">
      <w:pPr>
        <w:ind w:left="284"/>
        <w:jc w:val="both"/>
        <w:rPr>
          <w:rFonts w:cstheme="minorHAnsi"/>
          <w:b/>
          <w:bCs/>
        </w:rPr>
      </w:pPr>
      <w:r w:rsidRPr="00F46282">
        <w:rPr>
          <w:rFonts w:cstheme="minorHAnsi"/>
          <w:b/>
          <w:bCs/>
        </w:rPr>
        <w:t>Dňa 30.6.2021 o 09.00 sa uskutoční organizovaná obhliadka priestorov za prítomnosti</w:t>
      </w:r>
      <w:r w:rsidR="00F46282" w:rsidRPr="00F46282">
        <w:rPr>
          <w:rFonts w:cstheme="minorHAnsi"/>
          <w:b/>
          <w:bCs/>
        </w:rPr>
        <w:t xml:space="preserve"> všetkých zainteresovaných osôb zo strany verejného obstarávateľa</w:t>
      </w:r>
      <w:r w:rsidR="00282FE7">
        <w:rPr>
          <w:rFonts w:cstheme="minorHAnsi"/>
          <w:b/>
          <w:bCs/>
        </w:rPr>
        <w:t>. Zároveň tu bude priestor na podrobnejšie vysvetlenie zadania.</w:t>
      </w:r>
    </w:p>
    <w:p w14:paraId="37017295" w14:textId="33C4D51D" w:rsidR="008840A1" w:rsidRPr="00235095" w:rsidRDefault="008840A1" w:rsidP="00F51370">
      <w:pPr>
        <w:ind w:left="284"/>
        <w:jc w:val="both"/>
        <w:rPr>
          <w:rFonts w:cstheme="minorHAnsi"/>
        </w:rPr>
      </w:pPr>
      <w:r w:rsidRPr="00235095">
        <w:rPr>
          <w:rFonts w:cstheme="minorHAnsi"/>
        </w:rPr>
        <w:t>Kontaktná osoba:</w:t>
      </w:r>
      <w:r w:rsidR="008879E6">
        <w:rPr>
          <w:rFonts w:cstheme="minorHAnsi"/>
        </w:rPr>
        <w:t xml:space="preserve">  </w:t>
      </w:r>
      <w:r w:rsidR="00BB6F04" w:rsidRPr="00035159">
        <w:t>Bc. Jana Jakub</w:t>
      </w:r>
      <w:r w:rsidR="00BB6F04">
        <w:t>ič</w:t>
      </w:r>
      <w:r w:rsidR="00BB6F04" w:rsidRPr="00035159">
        <w:t>ková</w:t>
      </w:r>
    </w:p>
    <w:p w14:paraId="05EDB2AE" w14:textId="1798A0CA" w:rsidR="008840A1" w:rsidRPr="00235095" w:rsidRDefault="008840A1" w:rsidP="00F51370">
      <w:pPr>
        <w:ind w:left="284"/>
        <w:jc w:val="both"/>
        <w:rPr>
          <w:rFonts w:cstheme="minorHAnsi"/>
        </w:rPr>
      </w:pPr>
      <w:r w:rsidRPr="00235095">
        <w:rPr>
          <w:rFonts w:cstheme="minorHAnsi"/>
        </w:rPr>
        <w:t>Tel.:</w:t>
      </w:r>
      <w:r w:rsidR="008879E6">
        <w:rPr>
          <w:rFonts w:cstheme="minorHAnsi"/>
        </w:rPr>
        <w:t xml:space="preserve">                        +421 </w:t>
      </w:r>
      <w:r w:rsidR="00BB6F04">
        <w:t>903 599 821</w:t>
      </w:r>
    </w:p>
    <w:p w14:paraId="63412D03" w14:textId="1DD7C730" w:rsidR="00BB6F04" w:rsidRDefault="008840A1" w:rsidP="00BB6F04">
      <w:pPr>
        <w:ind w:left="284"/>
        <w:jc w:val="both"/>
        <w:rPr>
          <w:rStyle w:val="Hypertextovprepojenie"/>
        </w:rPr>
      </w:pPr>
      <w:r w:rsidRPr="00235095">
        <w:rPr>
          <w:rFonts w:cstheme="minorHAnsi"/>
        </w:rPr>
        <w:t>e-mail:</w:t>
      </w:r>
      <w:r w:rsidR="00F51370" w:rsidRPr="00235095">
        <w:rPr>
          <w:rFonts w:cstheme="minorHAnsi"/>
        </w:rPr>
        <w:t xml:space="preserve">        </w:t>
      </w:r>
      <w:r w:rsidR="008879E6">
        <w:rPr>
          <w:rFonts w:cstheme="minorHAnsi"/>
        </w:rPr>
        <w:t xml:space="preserve">           </w:t>
      </w:r>
      <w:hyperlink r:id="rId8" w:history="1">
        <w:r w:rsidR="00BB6F04" w:rsidRPr="006707CC">
          <w:rPr>
            <w:rStyle w:val="Hypertextovprepojenie"/>
          </w:rPr>
          <w:t>vojnove.hroby@marianum.sk</w:t>
        </w:r>
      </w:hyperlink>
    </w:p>
    <w:p w14:paraId="5AECCC13" w14:textId="56C0C7E3" w:rsidR="008879E6" w:rsidRPr="00235095" w:rsidRDefault="00BD658A" w:rsidP="00BB6F04">
      <w:pPr>
        <w:ind w:left="284"/>
        <w:jc w:val="both"/>
        <w:rPr>
          <w:rFonts w:cstheme="minorHAnsi"/>
          <w:b/>
        </w:rPr>
      </w:pPr>
      <w:r>
        <w:rPr>
          <w:rFonts w:cstheme="minorHAnsi"/>
          <w:b/>
          <w:bCs/>
        </w:rPr>
        <w:t>Obhliadka nie je povinná</w:t>
      </w:r>
      <w:r w:rsidR="00F46282">
        <w:rPr>
          <w:rFonts w:cstheme="minorHAnsi"/>
          <w:b/>
          <w:bCs/>
        </w:rPr>
        <w:t xml:space="preserve">. Obhliadka  v inom termíne ako </w:t>
      </w:r>
      <w:r w:rsidR="00F46282" w:rsidRPr="00F46282">
        <w:rPr>
          <w:rFonts w:cstheme="minorHAnsi"/>
          <w:b/>
          <w:bCs/>
        </w:rPr>
        <w:t xml:space="preserve">30.6.2021 o 09.00 </w:t>
      </w:r>
      <w:r w:rsidR="004C4FF0">
        <w:rPr>
          <w:rFonts w:cstheme="minorHAnsi"/>
          <w:b/>
          <w:bCs/>
        </w:rPr>
        <w:t>je možná</w:t>
      </w:r>
      <w:r>
        <w:rPr>
          <w:rFonts w:cstheme="minorHAnsi"/>
          <w:b/>
          <w:bCs/>
        </w:rPr>
        <w:t xml:space="preserve">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lastRenderedPageBreak/>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lastRenderedPageBreak/>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lastRenderedPageBreak/>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58F8EA1D"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C4FF0">
        <w:rPr>
          <w:rFonts w:cstheme="minorHAnsi"/>
          <w:bCs/>
        </w:rPr>
        <w:t>1</w:t>
      </w:r>
      <w:r w:rsidR="00282FE7">
        <w:rPr>
          <w:rFonts w:cstheme="minorHAnsi"/>
          <w:bCs/>
        </w:rPr>
        <w:t>2</w:t>
      </w:r>
      <w:r w:rsidRPr="00235095">
        <w:rPr>
          <w:rFonts w:cstheme="minorHAnsi"/>
          <w:bCs/>
        </w:rPr>
        <w:t>.</w:t>
      </w:r>
      <w:r w:rsidR="00195F1E">
        <w:rPr>
          <w:rFonts w:cstheme="minorHAnsi"/>
          <w:bCs/>
        </w:rPr>
        <w:t>0</w:t>
      </w:r>
      <w:r w:rsidR="00282FE7">
        <w:rPr>
          <w:rFonts w:cstheme="minorHAnsi"/>
          <w:bCs/>
        </w:rPr>
        <w:t>7</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6E1D4EEB" w14:textId="176D9176" w:rsidR="00195F1E" w:rsidRDefault="000970A1" w:rsidP="00F51370">
      <w:pPr>
        <w:pStyle w:val="Odsekzoznamu"/>
        <w:spacing w:line="276" w:lineRule="auto"/>
        <w:ind w:left="284"/>
        <w:jc w:val="both"/>
      </w:pPr>
      <w:hyperlink r:id="rId11" w:history="1">
        <w:r w:rsidR="004C4FF0" w:rsidRPr="006707CC">
          <w:rPr>
            <w:rStyle w:val="Hypertextovprepojenie"/>
          </w:rPr>
          <w:t>https://josephine.proebiz.com/sk/tender/13049/summary</w:t>
        </w:r>
      </w:hyperlink>
    </w:p>
    <w:p w14:paraId="617DEB66" w14:textId="77777777" w:rsidR="004C4FF0" w:rsidRPr="00235095" w:rsidRDefault="004C4FF0"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lastRenderedPageBreak/>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51F7AA87" w:rsidR="00F51370" w:rsidRPr="00235095" w:rsidRDefault="00F51370" w:rsidP="00F51370">
      <w:pPr>
        <w:pStyle w:val="Odsekzoznamu"/>
        <w:spacing w:line="276" w:lineRule="auto"/>
        <w:ind w:left="360"/>
        <w:jc w:val="both"/>
        <w:rPr>
          <w:rFonts w:cstheme="minorHAnsi"/>
          <w:b/>
        </w:rPr>
      </w:pPr>
      <w:r w:rsidRPr="00235095">
        <w:rPr>
          <w:rFonts w:cstheme="minorHAnsi"/>
        </w:rPr>
        <w:t>V Bratislav</w:t>
      </w:r>
      <w:r w:rsidR="00235095">
        <w:rPr>
          <w:rFonts w:cstheme="minorHAnsi"/>
        </w:rPr>
        <w:t>e</w:t>
      </w:r>
      <w:r w:rsidRPr="00235095">
        <w:rPr>
          <w:rFonts w:cstheme="minorHAnsi"/>
        </w:rPr>
        <w:t xml:space="preserve">, dňa     </w:t>
      </w:r>
      <w:r w:rsidR="00282FE7">
        <w:rPr>
          <w:rFonts w:cstheme="minorHAnsi"/>
        </w:rPr>
        <w:t>29</w:t>
      </w:r>
      <w:r w:rsidR="00195F1E">
        <w:rPr>
          <w:rFonts w:cstheme="minorHAnsi"/>
        </w:rPr>
        <w:t>.6.</w:t>
      </w:r>
      <w:r w:rsidRPr="00235095">
        <w:rPr>
          <w:rFonts w:cstheme="minorHAnsi"/>
        </w:rPr>
        <w:t>2021</w:t>
      </w:r>
    </w:p>
    <w:p w14:paraId="424F20B4" w14:textId="0A97C6A2" w:rsidR="00F51370" w:rsidRPr="00235095" w:rsidRDefault="00F51370" w:rsidP="00C800F6">
      <w:pPr>
        <w:spacing w:line="276" w:lineRule="auto"/>
        <w:ind w:left="318"/>
        <w:jc w:val="both"/>
        <w:rPr>
          <w:rFonts w:cstheme="minorHAnsi"/>
          <w:lang w:eastAsia="ar-SA"/>
        </w:rPr>
      </w:pPr>
      <w:r w:rsidRPr="00235095">
        <w:rPr>
          <w:rFonts w:cstheme="minorHAnsi"/>
        </w:rPr>
        <w:tab/>
      </w: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28616479"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w:t>
      </w:r>
      <w:r w:rsidR="004C4FF0">
        <w:rPr>
          <w:rFonts w:cstheme="minorHAnsi"/>
          <w:bCs/>
        </w:rPr>
        <w:t>ej prílohy 1.1</w:t>
      </w:r>
    </w:p>
    <w:p w14:paraId="304F6A0B" w14:textId="09101D4F"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4C4FF0">
        <w:rPr>
          <w:rFonts w:cstheme="minorHAnsi"/>
          <w:bCs/>
        </w:rPr>
        <w:t>Technická špecifikácia -</w:t>
      </w:r>
      <w:r w:rsidRPr="00235095">
        <w:rPr>
          <w:rFonts w:cstheme="minorHAnsi"/>
          <w:bCs/>
        </w:rPr>
        <w:t>Opis predmetu zákazky</w:t>
      </w:r>
    </w:p>
    <w:p w14:paraId="38C0D264" w14:textId="7D10558C" w:rsidR="00F51370" w:rsidRPr="00235095" w:rsidRDefault="00F51370" w:rsidP="00C800F6">
      <w:pPr>
        <w:tabs>
          <w:tab w:val="left" w:pos="1102"/>
        </w:tabs>
        <w:ind w:firstLine="426"/>
        <w:rPr>
          <w:rFonts w:cstheme="minorHAnsi"/>
        </w:rPr>
      </w:pPr>
      <w:r w:rsidRPr="00235095">
        <w:rPr>
          <w:rFonts w:cstheme="minorHAnsi"/>
          <w:bCs/>
        </w:rPr>
        <w:t>Príloha č. 2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3E77" w14:textId="77777777" w:rsidR="000970A1" w:rsidRDefault="000970A1" w:rsidP="00EC368F">
      <w:pPr>
        <w:spacing w:after="0" w:line="240" w:lineRule="auto"/>
      </w:pPr>
      <w:r>
        <w:separator/>
      </w:r>
    </w:p>
  </w:endnote>
  <w:endnote w:type="continuationSeparator" w:id="0">
    <w:p w14:paraId="7EB77771" w14:textId="77777777" w:rsidR="000970A1" w:rsidRDefault="000970A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8A2F" w14:textId="77777777" w:rsidR="000970A1" w:rsidRDefault="000970A1" w:rsidP="00EC368F">
      <w:pPr>
        <w:spacing w:after="0" w:line="240" w:lineRule="auto"/>
      </w:pPr>
      <w:r>
        <w:separator/>
      </w:r>
    </w:p>
  </w:footnote>
  <w:footnote w:type="continuationSeparator" w:id="0">
    <w:p w14:paraId="4D8BE202" w14:textId="77777777" w:rsidR="000970A1" w:rsidRDefault="000970A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84EAC"/>
    <w:rsid w:val="000970A1"/>
    <w:rsid w:val="000A63D0"/>
    <w:rsid w:val="000E7F62"/>
    <w:rsid w:val="00105BD7"/>
    <w:rsid w:val="00164FD4"/>
    <w:rsid w:val="00172C74"/>
    <w:rsid w:val="00195F1E"/>
    <w:rsid w:val="001A38C4"/>
    <w:rsid w:val="001C25AD"/>
    <w:rsid w:val="00204CB6"/>
    <w:rsid w:val="0022441E"/>
    <w:rsid w:val="00226F06"/>
    <w:rsid w:val="00235095"/>
    <w:rsid w:val="0025040D"/>
    <w:rsid w:val="00282FE7"/>
    <w:rsid w:val="002934F0"/>
    <w:rsid w:val="002E092F"/>
    <w:rsid w:val="002E0D5D"/>
    <w:rsid w:val="002F5F00"/>
    <w:rsid w:val="00303238"/>
    <w:rsid w:val="003055E7"/>
    <w:rsid w:val="003542F1"/>
    <w:rsid w:val="00364673"/>
    <w:rsid w:val="00377B6A"/>
    <w:rsid w:val="0039552A"/>
    <w:rsid w:val="003A19E6"/>
    <w:rsid w:val="003C2475"/>
    <w:rsid w:val="003C5A38"/>
    <w:rsid w:val="003E4DC3"/>
    <w:rsid w:val="00413394"/>
    <w:rsid w:val="0041394A"/>
    <w:rsid w:val="00457266"/>
    <w:rsid w:val="00486202"/>
    <w:rsid w:val="004B4522"/>
    <w:rsid w:val="004C4FF0"/>
    <w:rsid w:val="004F0424"/>
    <w:rsid w:val="005057E5"/>
    <w:rsid w:val="00570D16"/>
    <w:rsid w:val="00592619"/>
    <w:rsid w:val="005E3EE9"/>
    <w:rsid w:val="00602B01"/>
    <w:rsid w:val="00613895"/>
    <w:rsid w:val="00647BF9"/>
    <w:rsid w:val="00664138"/>
    <w:rsid w:val="006C5310"/>
    <w:rsid w:val="006C7EBC"/>
    <w:rsid w:val="006E4618"/>
    <w:rsid w:val="00715D8F"/>
    <w:rsid w:val="00752661"/>
    <w:rsid w:val="00783B3C"/>
    <w:rsid w:val="007C512F"/>
    <w:rsid w:val="00805DFD"/>
    <w:rsid w:val="008533E0"/>
    <w:rsid w:val="008549D9"/>
    <w:rsid w:val="008718F2"/>
    <w:rsid w:val="00880434"/>
    <w:rsid w:val="008840A1"/>
    <w:rsid w:val="008879E6"/>
    <w:rsid w:val="008B3B1B"/>
    <w:rsid w:val="008F2AF2"/>
    <w:rsid w:val="009A2C0C"/>
    <w:rsid w:val="009A4585"/>
    <w:rsid w:val="009F2B5D"/>
    <w:rsid w:val="00A025DC"/>
    <w:rsid w:val="00A465CA"/>
    <w:rsid w:val="00A54271"/>
    <w:rsid w:val="00A61393"/>
    <w:rsid w:val="00A636F9"/>
    <w:rsid w:val="00A653E2"/>
    <w:rsid w:val="00A742A2"/>
    <w:rsid w:val="00A93D09"/>
    <w:rsid w:val="00B125A2"/>
    <w:rsid w:val="00B707AC"/>
    <w:rsid w:val="00B718A9"/>
    <w:rsid w:val="00BB6F04"/>
    <w:rsid w:val="00BD658A"/>
    <w:rsid w:val="00BE1E5B"/>
    <w:rsid w:val="00BE4624"/>
    <w:rsid w:val="00C57B73"/>
    <w:rsid w:val="00C800F6"/>
    <w:rsid w:val="00CB7C0A"/>
    <w:rsid w:val="00CC20DD"/>
    <w:rsid w:val="00D366AB"/>
    <w:rsid w:val="00D801B2"/>
    <w:rsid w:val="00DD5898"/>
    <w:rsid w:val="00E42132"/>
    <w:rsid w:val="00E95FD6"/>
    <w:rsid w:val="00EB6A94"/>
    <w:rsid w:val="00EC368F"/>
    <w:rsid w:val="00EF3E23"/>
    <w:rsid w:val="00F33F43"/>
    <w:rsid w:val="00F46282"/>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964117407">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jnove.hroby@marianum.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3049/summary"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2185</Words>
  <Characters>12457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5</cp:revision>
  <dcterms:created xsi:type="dcterms:W3CDTF">2021-06-29T08:39:00Z</dcterms:created>
  <dcterms:modified xsi:type="dcterms:W3CDTF">2021-06-29T09:36:00Z</dcterms:modified>
</cp:coreProperties>
</file>