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2E9D5D25"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77777777" w:rsidR="00E26541" w:rsidRDefault="00E26541" w:rsidP="004D5A0C">
      <w:pPr>
        <w:spacing w:after="120"/>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56C5C7F6" w:rsidR="000B7FE2" w:rsidRPr="005E3CCD"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4D5A0C" w:rsidRPr="004D5A0C">
        <w:rPr>
          <w:rFonts w:ascii="Arial" w:hAnsi="Arial" w:cs="Arial"/>
          <w:sz w:val="20"/>
          <w:szCs w:val="20"/>
        </w:rPr>
        <w:t xml:space="preserve">Domové membránové plynomery veľkostí G4 s mechanickým zariadením na teplotnú korekciu a bez mechanického zariadenia na teplotnú korekciu </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1"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1"/>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2"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3"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4"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5"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6"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151788E6"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067B11BA"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C14120">
        <w:rPr>
          <w:rFonts w:ascii="Arial" w:hAnsi="Arial" w:cs="Arial"/>
        </w:rPr>
        <w:t xml:space="preserve"> </w:t>
      </w:r>
      <w:r>
        <w:rPr>
          <w:rFonts w:ascii="Arial" w:hAnsi="Arial" w:cs="Arial"/>
        </w:rPr>
        <w:t>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w:t>
      </w:r>
      <w:r w:rsidRPr="00D07B87">
        <w:rPr>
          <w:rFonts w:ascii="Arial" w:hAnsi="Arial" w:cs="Arial"/>
        </w:rPr>
        <w:t xml:space="preserve">Tovaru, ktorého </w:t>
      </w:r>
      <w:r w:rsidR="00131774" w:rsidRPr="00D07B87">
        <w:rPr>
          <w:rFonts w:ascii="Arial" w:hAnsi="Arial" w:cs="Arial"/>
        </w:rPr>
        <w:t>dodávka Predávajúcim Kupujúcemu je predmetom tejto Zmluvy</w:t>
      </w:r>
      <w:r w:rsidR="00E3462F" w:rsidRPr="00D07B87">
        <w:rPr>
          <w:rFonts w:ascii="Arial" w:hAnsi="Arial" w:cs="Arial"/>
        </w:rPr>
        <w:t>,</w:t>
      </w:r>
      <w:r w:rsidR="00131774" w:rsidRPr="00D07B87">
        <w:rPr>
          <w:rFonts w:ascii="Arial" w:hAnsi="Arial" w:cs="Arial"/>
        </w:rPr>
        <w:t xml:space="preserve"> je </w:t>
      </w:r>
      <w:r w:rsidR="00F35F88">
        <w:rPr>
          <w:rFonts w:ascii="Arial" w:hAnsi="Arial" w:cs="Arial"/>
        </w:rPr>
        <w:t>79</w:t>
      </w:r>
      <w:r w:rsidR="00984B98" w:rsidRPr="003949FA">
        <w:rPr>
          <w:rFonts w:ascii="Arial" w:hAnsi="Arial" w:cs="Arial"/>
        </w:rPr>
        <w:t xml:space="preserve"> 000</w:t>
      </w:r>
      <w:r w:rsidR="00131774" w:rsidRPr="00D07B87">
        <w:rPr>
          <w:rFonts w:ascii="Arial" w:hAnsi="Arial" w:cs="Arial"/>
        </w:rPr>
        <w:t xml:space="preserve"> kusov Tovaru. Pre vylúčenie pochybností sa uvádza, že v predchádzajúcej vete tohto bodu Zmluvy uvedené</w:t>
      </w:r>
      <w:r w:rsidR="00131774">
        <w:rPr>
          <w:rFonts w:ascii="Arial" w:hAnsi="Arial" w:cs="Arial"/>
        </w:rPr>
        <w:t xml:space="preserve">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62918A5A" w:rsidR="006D6917" w:rsidRDefault="006D6917" w:rsidP="00F35F88">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F35F88" w:rsidRPr="00F35F88">
        <w:rPr>
          <w:rFonts w:ascii="Arial" w:hAnsi="Arial" w:cs="Arial"/>
          <w:b/>
        </w:rPr>
        <w:t xml:space="preserve">Domové membránové plynomery veľkosti G4 bez mechanického zariadenia na </w:t>
      </w:r>
      <w:proofErr w:type="spellStart"/>
      <w:r w:rsidR="00F35F88" w:rsidRPr="00F35F88">
        <w:rPr>
          <w:rFonts w:ascii="Arial" w:hAnsi="Arial" w:cs="Arial"/>
          <w:b/>
        </w:rPr>
        <w:t>teplot-nú</w:t>
      </w:r>
      <w:proofErr w:type="spellEnd"/>
      <w:r w:rsidR="00F35F88" w:rsidRPr="00F35F88">
        <w:rPr>
          <w:rFonts w:ascii="Arial" w:hAnsi="Arial" w:cs="Arial"/>
          <w:b/>
        </w:rPr>
        <w:t xml:space="preserve"> korekciu a osovým rozstupom vertikálnych pripojovacích hrdiel 100 mm</w:t>
      </w:r>
      <w:r w:rsidR="00CC1FFB" w:rsidRPr="00CC1FFB">
        <w:rPr>
          <w:rFonts w:ascii="Arial" w:hAnsi="Arial" w:cs="Arial"/>
          <w:b/>
        </w:rPr>
        <w:t xml:space="preserve"> </w:t>
      </w:r>
      <w:r>
        <w:rPr>
          <w:rFonts w:ascii="Arial" w:hAnsi="Arial" w:cs="Arial"/>
        </w:rPr>
        <w:t>bližšie špecifikované</w:t>
      </w:r>
      <w:r w:rsidR="00CC1FFB">
        <w:rPr>
          <w:rFonts w:ascii="Arial" w:hAnsi="Arial" w:cs="Arial"/>
        </w:rPr>
        <w:t xml:space="preserve"> pre daný Tovar</w:t>
      </w:r>
      <w:r>
        <w:rPr>
          <w:rFonts w:ascii="Arial" w:hAnsi="Arial" w:cs="Arial"/>
        </w:rPr>
        <w:t xml:space="preserve">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w:t>
      </w:r>
      <w:bookmarkStart w:id="7" w:name="_GoBack"/>
      <w:bookmarkEnd w:id="7"/>
      <w:r w:rsidRPr="00BC1976">
        <w:rPr>
          <w:rFonts w:ascii="Arial" w:hAnsi="Arial" w:cs="Arial"/>
        </w:rPr>
        <w:t>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lastRenderedPageBreak/>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F719C4" w:rsidRDefault="00C31E1D" w:rsidP="00E751ED">
      <w:pPr>
        <w:pStyle w:val="seNormalny2"/>
        <w:numPr>
          <w:ilvl w:val="1"/>
          <w:numId w:val="27"/>
        </w:numPr>
        <w:tabs>
          <w:tab w:val="left" w:pos="9356"/>
        </w:tabs>
        <w:spacing w:after="0"/>
        <w:ind w:right="113"/>
        <w:rPr>
          <w:rFonts w:ascii="Arial" w:hAnsi="Arial" w:cs="Arial"/>
          <w:highlight w:val="green"/>
        </w:rPr>
      </w:pPr>
      <w:r w:rsidRPr="00F719C4">
        <w:rPr>
          <w:rFonts w:ascii="Arial" w:hAnsi="Arial" w:cs="Arial"/>
          <w:highlight w:val="green"/>
        </w:rPr>
        <w:t>Predávajúci je povinný s Tovarom odovzdať odtlačky razníc v počte min</w:t>
      </w:r>
      <w:r w:rsidR="008E3826" w:rsidRPr="00F719C4">
        <w:rPr>
          <w:rFonts w:ascii="Arial" w:hAnsi="Arial" w:cs="Arial"/>
          <w:highlight w:val="green"/>
        </w:rPr>
        <w:t>imálne</w:t>
      </w:r>
      <w:r w:rsidRPr="00F719C4">
        <w:rPr>
          <w:rFonts w:ascii="Arial" w:hAnsi="Arial" w:cs="Arial"/>
          <w:highlight w:val="green"/>
        </w:rPr>
        <w:t xml:space="preserve"> 2 ks z každej raznice, ktoré boli použité pri plombovaní plynomerov</w:t>
      </w:r>
      <w:r w:rsidR="008E3826" w:rsidRPr="00F719C4">
        <w:rPr>
          <w:rFonts w:ascii="Arial" w:hAnsi="Arial" w:cs="Arial"/>
          <w:highlight w:val="green"/>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w:t>
      </w:r>
      <w:r w:rsidR="0026789A" w:rsidRPr="007356A7">
        <w:rPr>
          <w:rFonts w:ascii="Arial" w:hAnsi="Arial" w:cs="Arial"/>
          <w:highlight w:val="green"/>
        </w:rPr>
        <w:lastRenderedPageBreak/>
        <w:t>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Pr="00F719C4" w:rsidRDefault="00787419" w:rsidP="006D6917">
      <w:pPr>
        <w:pStyle w:val="seNormalny2"/>
        <w:numPr>
          <w:ilvl w:val="1"/>
          <w:numId w:val="27"/>
        </w:numPr>
        <w:tabs>
          <w:tab w:val="left" w:pos="9356"/>
        </w:tabs>
        <w:ind w:right="113"/>
        <w:rPr>
          <w:rFonts w:ascii="Arial" w:hAnsi="Arial" w:cs="Arial"/>
          <w:highlight w:val="green"/>
        </w:rPr>
      </w:pPr>
      <w:r w:rsidRPr="00F719C4">
        <w:rPr>
          <w:rFonts w:ascii="Arial" w:hAnsi="Arial" w:cs="Arial"/>
          <w:highlight w:val="green"/>
        </w:rPr>
        <w:t xml:space="preserve">Predávajúci je povinný </w:t>
      </w:r>
      <w:r w:rsidR="007B09D6" w:rsidRPr="00F719C4">
        <w:rPr>
          <w:rFonts w:ascii="Arial" w:hAnsi="Arial" w:cs="Arial"/>
          <w:highlight w:val="green"/>
        </w:rPr>
        <w:t>akceptovať</w:t>
      </w:r>
      <w:r w:rsidR="006D6917" w:rsidRPr="00F719C4">
        <w:rPr>
          <w:rFonts w:ascii="Arial" w:hAnsi="Arial" w:cs="Arial"/>
          <w:highlight w:val="green"/>
        </w:rPr>
        <w:t xml:space="preserve"> Objednávk</w:t>
      </w:r>
      <w:r w:rsidR="001158DB" w:rsidRPr="00F719C4">
        <w:rPr>
          <w:rFonts w:ascii="Arial" w:hAnsi="Arial" w:cs="Arial"/>
          <w:highlight w:val="green"/>
        </w:rPr>
        <w:t>u</w:t>
      </w:r>
      <w:r w:rsidR="00986547" w:rsidRPr="00F719C4">
        <w:rPr>
          <w:rFonts w:ascii="Arial" w:hAnsi="Arial" w:cs="Arial"/>
          <w:highlight w:val="green"/>
        </w:rPr>
        <w:t xml:space="preserve"> bez zbytočného odkladu, najneskôr však do  2 pracovných dní, odo dňa doručenia Objednávky zo strany Kupujúceho</w:t>
      </w:r>
    </w:p>
    <w:p w14:paraId="00E54D70" w14:textId="68826401" w:rsidR="006D6917" w:rsidRPr="00F719C4" w:rsidRDefault="000E0015" w:rsidP="00986547">
      <w:pPr>
        <w:pStyle w:val="seNormalny2"/>
        <w:tabs>
          <w:tab w:val="left" w:pos="9356"/>
        </w:tabs>
        <w:ind w:left="567" w:right="113"/>
        <w:rPr>
          <w:rFonts w:ascii="Arial" w:hAnsi="Arial" w:cs="Arial"/>
          <w:highlight w:val="green"/>
        </w:rPr>
      </w:pPr>
      <w:r w:rsidRPr="00F719C4">
        <w:rPr>
          <w:rFonts w:ascii="Arial" w:hAnsi="Arial" w:cs="Arial"/>
          <w:highlight w:val="green"/>
        </w:rPr>
        <w:t xml:space="preserve">a) </w:t>
      </w:r>
      <w:r w:rsidR="007B09D6" w:rsidRPr="00F719C4">
        <w:rPr>
          <w:rFonts w:ascii="Arial" w:hAnsi="Arial" w:cs="Arial"/>
          <w:highlight w:val="green"/>
        </w:rPr>
        <w:t>v prípade podľa bodu 3.</w:t>
      </w:r>
      <w:r w:rsidR="00BE72C9" w:rsidRPr="00F719C4">
        <w:rPr>
          <w:rFonts w:ascii="Arial" w:hAnsi="Arial" w:cs="Arial"/>
          <w:highlight w:val="green"/>
        </w:rPr>
        <w:t>3</w:t>
      </w:r>
      <w:r w:rsidR="007B09D6" w:rsidRPr="00F719C4">
        <w:rPr>
          <w:rFonts w:ascii="Arial" w:hAnsi="Arial" w:cs="Arial"/>
          <w:highlight w:val="green"/>
        </w:rPr>
        <w:t xml:space="preserve"> </w:t>
      </w:r>
      <w:r w:rsidRPr="00F719C4">
        <w:rPr>
          <w:rFonts w:ascii="Arial" w:hAnsi="Arial" w:cs="Arial"/>
          <w:highlight w:val="green"/>
        </w:rPr>
        <w:t xml:space="preserve">písm. </w:t>
      </w:r>
      <w:r w:rsidR="007B09D6" w:rsidRPr="00F719C4">
        <w:rPr>
          <w:rFonts w:ascii="Arial" w:hAnsi="Arial" w:cs="Arial"/>
          <w:highlight w:val="green"/>
        </w:rPr>
        <w:t>a) Zmluvy</w:t>
      </w:r>
      <w:r w:rsidR="00986547" w:rsidRPr="00F719C4">
        <w:rPr>
          <w:rFonts w:ascii="Arial" w:hAnsi="Arial" w:cs="Arial"/>
          <w:highlight w:val="green"/>
        </w:rPr>
        <w:t xml:space="preserve"> </w:t>
      </w:r>
      <w:r w:rsidR="0038528C" w:rsidRPr="00F719C4">
        <w:rPr>
          <w:rFonts w:ascii="Arial" w:hAnsi="Arial" w:cs="Arial"/>
          <w:highlight w:val="green"/>
        </w:rPr>
        <w:t>zaslaním</w:t>
      </w:r>
      <w:r w:rsidR="00800D1C" w:rsidRPr="00F719C4">
        <w:rPr>
          <w:rFonts w:ascii="Arial" w:hAnsi="Arial" w:cs="Arial"/>
          <w:highlight w:val="green"/>
        </w:rPr>
        <w:t xml:space="preserve"> </w:t>
      </w:r>
      <w:proofErr w:type="spellStart"/>
      <w:r w:rsidRPr="00F719C4">
        <w:rPr>
          <w:rFonts w:ascii="Arial" w:hAnsi="Arial" w:cs="Arial"/>
          <w:highlight w:val="green"/>
        </w:rPr>
        <w:t>scanu</w:t>
      </w:r>
      <w:proofErr w:type="spellEnd"/>
      <w:r w:rsidRPr="00F719C4">
        <w:rPr>
          <w:rFonts w:ascii="Arial" w:hAnsi="Arial" w:cs="Arial"/>
          <w:highlight w:val="green"/>
        </w:rPr>
        <w:t xml:space="preserve"> </w:t>
      </w:r>
      <w:r w:rsidR="00800D1C" w:rsidRPr="00F719C4">
        <w:rPr>
          <w:rFonts w:ascii="Arial" w:hAnsi="Arial" w:cs="Arial"/>
          <w:highlight w:val="green"/>
        </w:rPr>
        <w:t>potvrdenej Objednávky</w:t>
      </w:r>
      <w:r w:rsidR="0038528C" w:rsidRPr="00F719C4">
        <w:rPr>
          <w:rFonts w:ascii="Arial" w:hAnsi="Arial" w:cs="Arial"/>
          <w:highlight w:val="green"/>
        </w:rPr>
        <w:t xml:space="preserve"> </w:t>
      </w:r>
      <w:r w:rsidR="00800D1C" w:rsidRPr="00F719C4">
        <w:rPr>
          <w:rFonts w:ascii="Arial" w:hAnsi="Arial" w:cs="Arial"/>
          <w:highlight w:val="green"/>
        </w:rPr>
        <w:t xml:space="preserve">s uvedením </w:t>
      </w:r>
      <w:r w:rsidRPr="00F719C4">
        <w:rPr>
          <w:rFonts w:ascii="Arial" w:hAnsi="Arial" w:cs="Arial"/>
          <w:highlight w:val="green"/>
        </w:rPr>
        <w:t xml:space="preserve">dátumu, </w:t>
      </w:r>
      <w:r w:rsidR="00800D1C" w:rsidRPr="00F719C4">
        <w:rPr>
          <w:rFonts w:ascii="Arial" w:hAnsi="Arial" w:cs="Arial"/>
          <w:highlight w:val="green"/>
        </w:rPr>
        <w:t xml:space="preserve">mena, priezviska a podpisu Oprávnenej osoby vo veciach zmluvných  a odtlačku pečiatky Predávajúceho </w:t>
      </w:r>
      <w:r w:rsidRPr="00F719C4">
        <w:rPr>
          <w:rFonts w:ascii="Arial" w:hAnsi="Arial" w:cs="Arial"/>
          <w:highlight w:val="green"/>
        </w:rPr>
        <w:t>a</w:t>
      </w:r>
      <w:r w:rsidR="00986547" w:rsidRPr="00F719C4">
        <w:rPr>
          <w:rFonts w:ascii="Arial" w:hAnsi="Arial" w:cs="Arial"/>
          <w:highlight w:val="green"/>
        </w:rPr>
        <w:t xml:space="preserve"> následne </w:t>
      </w:r>
      <w:r w:rsidRPr="00F719C4">
        <w:rPr>
          <w:rFonts w:ascii="Arial" w:hAnsi="Arial" w:cs="Arial"/>
          <w:highlight w:val="green"/>
        </w:rPr>
        <w:t>aj zaslaním (originálu) potvrdenej Objednávky poštou na adresu,</w:t>
      </w:r>
    </w:p>
    <w:p w14:paraId="00E54D72" w14:textId="57362A97" w:rsidR="006D6917" w:rsidRPr="00D06FCC" w:rsidRDefault="000E0015" w:rsidP="00986547">
      <w:pPr>
        <w:pStyle w:val="seNormalny2"/>
        <w:tabs>
          <w:tab w:val="left" w:pos="9356"/>
        </w:tabs>
        <w:ind w:left="567" w:right="113"/>
        <w:rPr>
          <w:rFonts w:ascii="Arial" w:hAnsi="Arial" w:cs="Arial"/>
        </w:rPr>
      </w:pPr>
      <w:r w:rsidRPr="00F719C4">
        <w:rPr>
          <w:rFonts w:ascii="Arial" w:hAnsi="Arial" w:cs="Arial"/>
          <w:highlight w:val="green"/>
        </w:rPr>
        <w:t>b</w:t>
      </w:r>
      <w:r w:rsidR="006D6917" w:rsidRPr="00F719C4">
        <w:rPr>
          <w:rFonts w:ascii="Arial" w:hAnsi="Arial" w:cs="Arial"/>
          <w:highlight w:val="green"/>
        </w:rPr>
        <w:t xml:space="preserve">) </w:t>
      </w:r>
      <w:r w:rsidRPr="00F719C4">
        <w:rPr>
          <w:rFonts w:ascii="Arial" w:hAnsi="Arial" w:cs="Arial"/>
          <w:highlight w:val="green"/>
        </w:rPr>
        <w:t>v prípade podľa bodu 3.</w:t>
      </w:r>
      <w:r w:rsidR="00BE72C9" w:rsidRPr="00F719C4">
        <w:rPr>
          <w:rFonts w:ascii="Arial" w:hAnsi="Arial" w:cs="Arial"/>
          <w:highlight w:val="green"/>
        </w:rPr>
        <w:t>3</w:t>
      </w:r>
      <w:r w:rsidRPr="00F719C4">
        <w:rPr>
          <w:rFonts w:ascii="Arial" w:hAnsi="Arial" w:cs="Arial"/>
          <w:highlight w:val="green"/>
        </w:rPr>
        <w:t xml:space="preserve"> písm. b) Zmluvy</w:t>
      </w:r>
      <w:r w:rsidR="00986547" w:rsidRPr="00F719C4">
        <w:rPr>
          <w:rFonts w:ascii="Arial" w:hAnsi="Arial" w:cs="Arial"/>
          <w:highlight w:val="green"/>
        </w:rPr>
        <w:t xml:space="preserve"> vyjadrením svojho súhlasu </w:t>
      </w:r>
      <w:r w:rsidR="006D6917" w:rsidRPr="00F719C4">
        <w:rPr>
          <w:rFonts w:ascii="Arial" w:hAnsi="Arial" w:cs="Arial"/>
          <w:highlight w:val="green"/>
        </w:rPr>
        <w:t xml:space="preserve">elektronickou poštou na adresu </w:t>
      </w:r>
      <w:r w:rsidR="007B09D6" w:rsidRPr="00F719C4">
        <w:rPr>
          <w:rFonts w:ascii="Arial" w:hAnsi="Arial" w:cs="Arial"/>
          <w:highlight w:val="green"/>
        </w:rPr>
        <w:t>Kupujúceho, z ktorej bola Objednávka doručená</w:t>
      </w:r>
      <w:r w:rsidR="006D6917" w:rsidRPr="00F719C4">
        <w:rPr>
          <w:rFonts w:ascii="Arial" w:hAnsi="Arial" w:cs="Arial"/>
          <w:highlight w:val="green"/>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08B0EC2D"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cen</w:t>
      </w:r>
      <w:r w:rsidR="00E77AE9">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06612AE8"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w:t>
      </w:r>
      <w:r w:rsidR="00E77AE9">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2560169C"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w:t>
      </w:r>
      <w:r w:rsidR="00F719C4">
        <w:rPr>
          <w:rFonts w:ascii="Arial" w:hAnsi="Arial" w:cs="Arial"/>
        </w:rPr>
        <w:t xml:space="preserve">oprávnený </w:t>
      </w:r>
      <w:r>
        <w:rPr>
          <w:rFonts w:ascii="Arial" w:hAnsi="Arial" w:cs="Arial"/>
        </w:rPr>
        <w:t xml:space="preserve">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0C428FA5"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8" w:name="_Ref88531157"/>
      <w:bookmarkStart w:id="9"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44C8AD4B" w14:textId="4FA72D81" w:rsidR="00F67493" w:rsidRDefault="005F2ADC" w:rsidP="006D6917">
      <w:pPr>
        <w:pStyle w:val="seNormalny2"/>
        <w:numPr>
          <w:ilvl w:val="1"/>
          <w:numId w:val="27"/>
        </w:numPr>
        <w:tabs>
          <w:tab w:val="left" w:pos="9356"/>
        </w:tabs>
        <w:spacing w:after="0"/>
        <w:ind w:right="113"/>
        <w:rPr>
          <w:rFonts w:ascii="Arial" w:hAnsi="Arial" w:cs="Arial"/>
        </w:rPr>
      </w:pPr>
      <w:r>
        <w:rPr>
          <w:rFonts w:ascii="Arial" w:hAnsi="Arial" w:cs="Arial"/>
        </w:rPr>
        <w:lastRenderedPageBreak/>
        <w:t>Zmluvné strany sa dohodli, že Kúpna cena podľa bodu 4.1 Zmluvy sa v priebehu trvania tejto Zmluvy upraví formou dodatku uzatvoreného zmluvnými stranami k Zmluve za nasledujúcich podmienok</w:t>
      </w:r>
      <w:r w:rsidR="00F67493">
        <w:rPr>
          <w:rFonts w:ascii="Arial" w:hAnsi="Arial" w:cs="Arial"/>
        </w:rPr>
        <w:t xml:space="preserve">. </w:t>
      </w:r>
    </w:p>
    <w:p w14:paraId="5B898574" w14:textId="4FE36384" w:rsidR="005F2ADC" w:rsidRDefault="005F2ADC" w:rsidP="006D6917">
      <w:pPr>
        <w:pStyle w:val="seNormalny2"/>
        <w:numPr>
          <w:ilvl w:val="1"/>
          <w:numId w:val="27"/>
        </w:numPr>
        <w:tabs>
          <w:tab w:val="left" w:pos="9356"/>
        </w:tabs>
        <w:spacing w:after="0"/>
        <w:ind w:right="113"/>
        <w:rPr>
          <w:rFonts w:ascii="Arial" w:hAnsi="Arial" w:cs="Arial"/>
        </w:rPr>
      </w:pPr>
      <w:r>
        <w:rPr>
          <w:rFonts w:ascii="Arial" w:hAnsi="Arial" w:cs="Arial"/>
        </w:rPr>
        <w:t>Nasledujúce p</w:t>
      </w:r>
      <w:r w:rsidRPr="009F0CBC">
        <w:rPr>
          <w:rFonts w:ascii="Arial" w:hAnsi="Arial" w:cs="Arial"/>
        </w:rPr>
        <w:t>ojmy, písané veľkými začiatočnými písmenami, používané v</w:t>
      </w:r>
      <w:r>
        <w:rPr>
          <w:rFonts w:ascii="Arial" w:hAnsi="Arial" w:cs="Arial"/>
        </w:rPr>
        <w:t> tomto Článku Zmluvy</w:t>
      </w:r>
      <w:r w:rsidRPr="009F0CBC">
        <w:rPr>
          <w:rFonts w:ascii="Arial" w:hAnsi="Arial" w:cs="Arial"/>
        </w:rPr>
        <w:t xml:space="preserve"> alebo dokumentácii, ktorá súvisí so Zmluvou, majú význam, ktorý je definovaný </w:t>
      </w:r>
      <w:r>
        <w:rPr>
          <w:rFonts w:ascii="Arial" w:hAnsi="Arial" w:cs="Arial"/>
        </w:rPr>
        <w:t>tak ako je ďalej uvedené:</w:t>
      </w:r>
    </w:p>
    <w:p w14:paraId="616D98F1" w14:textId="2B1DEC6F" w:rsidR="005F2ADC" w:rsidRDefault="005F2ADC" w:rsidP="00D07B87">
      <w:pPr>
        <w:pStyle w:val="seNormalny2"/>
        <w:tabs>
          <w:tab w:val="left" w:pos="9356"/>
        </w:tabs>
        <w:spacing w:after="0"/>
        <w:ind w:left="567" w:right="113"/>
        <w:rPr>
          <w:rFonts w:ascii="Arial" w:hAnsi="Arial" w:cs="Arial"/>
        </w:rPr>
      </w:pPr>
      <w:r w:rsidRPr="0038289C">
        <w:rPr>
          <w:rFonts w:ascii="Arial" w:hAnsi="Arial" w:cs="Arial"/>
          <w:b/>
        </w:rPr>
        <w:t>Index pre oceľ</w:t>
      </w:r>
      <w:r>
        <w:rPr>
          <w:rFonts w:ascii="Arial" w:hAnsi="Arial" w:cs="Arial"/>
        </w:rPr>
        <w:t xml:space="preserve"> znamená vyjadrenie zastúpenia nákladov na komoditu oceľ v štruktúre celkových nákladov Predávajúceho na výrobu Tovaru, ktoré ovplyvňuje tvorbu ceny Tovaru Predávajúcim pri obchodovaní s Tovarom. Uvedený index je určený Predávajúcim. </w:t>
      </w:r>
      <w:r w:rsidRPr="0038289C">
        <w:rPr>
          <w:rFonts w:ascii="Arial" w:hAnsi="Arial" w:cs="Arial"/>
          <w:b/>
        </w:rPr>
        <w:t>Hodnota Indexu pre oceľ je 0,1</w:t>
      </w:r>
      <w:r>
        <w:rPr>
          <w:rFonts w:ascii="Arial" w:hAnsi="Arial" w:cs="Arial"/>
        </w:rPr>
        <w:t xml:space="preserve"> (slovom jedna desatina).</w:t>
      </w:r>
    </w:p>
    <w:p w14:paraId="3604262E" w14:textId="0D720870" w:rsidR="005F2ADC" w:rsidRDefault="005F2ADC" w:rsidP="00D07B87">
      <w:pPr>
        <w:pStyle w:val="seNormalny2"/>
        <w:tabs>
          <w:tab w:val="left" w:pos="9356"/>
        </w:tabs>
        <w:spacing w:after="0"/>
        <w:ind w:left="567" w:right="113"/>
        <w:rPr>
          <w:rFonts w:ascii="Arial" w:hAnsi="Arial" w:cs="Arial"/>
          <w:shd w:val="clear" w:color="auto" w:fill="FFFFFF"/>
        </w:rPr>
      </w:pPr>
      <w:r w:rsidRPr="007E313A">
        <w:rPr>
          <w:rFonts w:ascii="Arial" w:hAnsi="Arial" w:cs="Arial"/>
          <w:b/>
          <w:color w:val="202124"/>
          <w:shd w:val="clear" w:color="auto" w:fill="FFFFFF"/>
        </w:rPr>
        <w:t>Londýnska burza kovov</w:t>
      </w:r>
      <w:r w:rsidRPr="007E313A">
        <w:rPr>
          <w:rFonts w:ascii="Arial" w:hAnsi="Arial" w:cs="Arial"/>
          <w:color w:val="202124"/>
          <w:shd w:val="clear" w:color="auto" w:fill="FFFFFF"/>
        </w:rPr>
        <w:t xml:space="preserve">, alebo v skratke </w:t>
      </w:r>
      <w:r w:rsidRPr="007E313A">
        <w:rPr>
          <w:rFonts w:ascii="Arial" w:hAnsi="Arial" w:cs="Arial"/>
          <w:b/>
          <w:color w:val="202124"/>
          <w:shd w:val="clear" w:color="auto" w:fill="FFFFFF"/>
        </w:rPr>
        <w:t>LME</w:t>
      </w:r>
      <w:r w:rsidRPr="007E313A">
        <w:rPr>
          <w:rFonts w:ascii="Arial" w:hAnsi="Arial" w:cs="Arial"/>
        </w:rPr>
        <w:t xml:space="preserve"> (angl. </w:t>
      </w:r>
      <w:proofErr w:type="spellStart"/>
      <w:r w:rsidRPr="007E313A">
        <w:rPr>
          <w:rFonts w:ascii="Arial" w:hAnsi="Arial" w:cs="Arial"/>
          <w:shd w:val="clear" w:color="auto" w:fill="FFFFFF"/>
        </w:rPr>
        <w:t>The</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London</w:t>
      </w:r>
      <w:proofErr w:type="spellEnd"/>
      <w:r w:rsidRPr="007E313A">
        <w:rPr>
          <w:rFonts w:ascii="Arial" w:hAnsi="Arial" w:cs="Arial"/>
          <w:shd w:val="clear" w:color="auto" w:fill="FFFFFF"/>
        </w:rPr>
        <w:t xml:space="preserve"> Metal Exchange) je burza s najväčším svetovým trhom so štandardizovanými </w:t>
      </w:r>
      <w:proofErr w:type="spellStart"/>
      <w:r w:rsidRPr="007E313A">
        <w:rPr>
          <w:rFonts w:ascii="Arial" w:hAnsi="Arial" w:cs="Arial"/>
          <w:shd w:val="clear" w:color="auto" w:fill="FFFFFF"/>
        </w:rPr>
        <w:t>forwardovými</w:t>
      </w:r>
      <w:proofErr w:type="spellEnd"/>
      <w:r w:rsidRPr="007E313A">
        <w:rPr>
          <w:rFonts w:ascii="Arial" w:hAnsi="Arial" w:cs="Arial"/>
          <w:shd w:val="clear" w:color="auto" w:fill="FFFFFF"/>
        </w:rPr>
        <w:t xml:space="preserve"> kontraktmi, </w:t>
      </w:r>
      <w:proofErr w:type="spellStart"/>
      <w:r w:rsidRPr="007E313A">
        <w:rPr>
          <w:rFonts w:ascii="Arial" w:hAnsi="Arial" w:cs="Arial"/>
          <w:shd w:val="clear" w:color="auto" w:fill="FFFFFF"/>
        </w:rPr>
        <w:t>futures</w:t>
      </w:r>
      <w:proofErr w:type="spellEnd"/>
      <w:r w:rsidRPr="007E313A">
        <w:rPr>
          <w:rFonts w:ascii="Arial" w:hAnsi="Arial" w:cs="Arial"/>
          <w:shd w:val="clear" w:color="auto" w:fill="FFFFFF"/>
        </w:rPr>
        <w:t xml:space="preserve"> kontraktmi a opciami na základné kovy so sídlom 10 </w:t>
      </w:r>
      <w:proofErr w:type="spellStart"/>
      <w:r w:rsidRPr="007E313A">
        <w:rPr>
          <w:rFonts w:ascii="Arial" w:hAnsi="Arial" w:cs="Arial"/>
          <w:shd w:val="clear" w:color="auto" w:fill="FFFFFF"/>
        </w:rPr>
        <w:t>Finsbury</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Square</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London</w:t>
      </w:r>
      <w:proofErr w:type="spellEnd"/>
      <w:r w:rsidRPr="007E313A">
        <w:rPr>
          <w:rFonts w:ascii="Arial" w:hAnsi="Arial" w:cs="Arial"/>
          <w:shd w:val="clear" w:color="auto" w:fill="FFFFFF"/>
        </w:rPr>
        <w:t xml:space="preserve"> EC2A 1AJ, Spojené kráľovstvo, táto zverejňuje burzové údaje na svojom webovom sídle </w:t>
      </w:r>
      <w:hyperlink r:id="rId12" w:history="1">
        <w:r w:rsidRPr="00623844">
          <w:rPr>
            <w:rStyle w:val="Hypertextovprepojenie"/>
            <w:rFonts w:ascii="Arial" w:hAnsi="Arial" w:cs="Arial"/>
            <w:shd w:val="clear" w:color="auto" w:fill="FFFFFF"/>
          </w:rPr>
          <w:t>www.lme.com</w:t>
        </w:r>
      </w:hyperlink>
    </w:p>
    <w:p w14:paraId="6ABA59D2" w14:textId="68F1B6F4" w:rsidR="005F2ADC" w:rsidRDefault="005F2ADC" w:rsidP="00D07B87">
      <w:pPr>
        <w:pStyle w:val="seNormalny2"/>
        <w:tabs>
          <w:tab w:val="left" w:pos="9356"/>
        </w:tabs>
        <w:spacing w:after="0"/>
        <w:ind w:left="567" w:right="113"/>
        <w:rPr>
          <w:rFonts w:ascii="Arial" w:hAnsi="Arial" w:cs="Arial"/>
        </w:rPr>
      </w:pPr>
      <w:r>
        <w:rPr>
          <w:rFonts w:ascii="Arial" w:hAnsi="Arial" w:cs="Arial"/>
          <w:b/>
        </w:rPr>
        <w:t>Denné ceny ocele</w:t>
      </w:r>
      <w:r w:rsidRPr="00072A48">
        <w:rPr>
          <w:rFonts w:ascii="Arial" w:hAnsi="Arial" w:cs="Arial"/>
        </w:rPr>
        <w:t xml:space="preserve"> </w:t>
      </w:r>
      <w:r>
        <w:rPr>
          <w:rFonts w:ascii="Arial" w:hAnsi="Arial" w:cs="Arial"/>
        </w:rPr>
        <w:t>znamená d</w:t>
      </w:r>
      <w:r w:rsidRPr="009B4EC7">
        <w:rPr>
          <w:rFonts w:ascii="Arial" w:hAnsi="Arial" w:cs="Arial"/>
        </w:rPr>
        <w:t>enn</w:t>
      </w:r>
      <w:r>
        <w:rPr>
          <w:rFonts w:ascii="Arial" w:hAnsi="Arial" w:cs="Arial"/>
        </w:rPr>
        <w:t>é</w:t>
      </w:r>
      <w:r w:rsidRPr="009B4EC7">
        <w:rPr>
          <w:rFonts w:ascii="Arial" w:hAnsi="Arial" w:cs="Arial"/>
        </w:rPr>
        <w:t xml:space="preserve"> cen</w:t>
      </w:r>
      <w:r>
        <w:rPr>
          <w:rFonts w:ascii="Arial" w:hAnsi="Arial" w:cs="Arial"/>
        </w:rPr>
        <w:t>y</w:t>
      </w:r>
      <w:r w:rsidRPr="009B4EC7">
        <w:rPr>
          <w:rFonts w:ascii="Arial" w:hAnsi="Arial" w:cs="Arial"/>
        </w:rPr>
        <w:t xml:space="preserve"> ocele podľa LME pre komoditu „STEEL HRC N. AMERICA (PLATTS)“ udávanú v jednotke „US</w:t>
      </w:r>
      <w:r w:rsidRPr="009B4EC7">
        <w:rPr>
          <w:rFonts w:ascii="Arial" w:hAnsi="Arial" w:cs="Arial"/>
          <w:lang w:val="en-US"/>
        </w:rPr>
        <w:t>$ PER SHORT TON</w:t>
      </w:r>
      <w:r w:rsidRPr="009B4EC7">
        <w:rPr>
          <w:rFonts w:ascii="Arial" w:hAnsi="Arial" w:cs="Arial"/>
          <w:caps/>
          <w:spacing w:val="30"/>
        </w:rPr>
        <w:t>“</w:t>
      </w:r>
      <w:r w:rsidRPr="009B4EC7">
        <w:rPr>
          <w:rFonts w:ascii="Arial" w:hAnsi="Arial" w:cs="Arial"/>
        </w:rPr>
        <w:t xml:space="preserve"> pre tzv. 12-mesačné kontrakty („CONTRACT </w:t>
      </w:r>
      <w:proofErr w:type="spellStart"/>
      <w:r w:rsidRPr="009B4EC7">
        <w:rPr>
          <w:rFonts w:ascii="Arial" w:hAnsi="Arial" w:cs="Arial"/>
        </w:rPr>
        <w:t>Month</w:t>
      </w:r>
      <w:proofErr w:type="spellEnd"/>
      <w:r w:rsidRPr="009B4EC7">
        <w:rPr>
          <w:rFonts w:ascii="Arial" w:hAnsi="Arial" w:cs="Arial"/>
        </w:rPr>
        <w:t xml:space="preserve"> 12“)</w:t>
      </w:r>
      <w:r>
        <w:rPr>
          <w:rFonts w:ascii="Arial" w:hAnsi="Arial" w:cs="Arial"/>
        </w:rPr>
        <w:t xml:space="preserve">, pričom pre prípad </w:t>
      </w:r>
      <w:r w:rsidRPr="009B4EC7">
        <w:rPr>
          <w:rFonts w:ascii="Arial" w:hAnsi="Arial" w:cs="Arial"/>
        </w:rPr>
        <w:t>že</w:t>
      </w:r>
      <w:r>
        <w:rPr>
          <w:rFonts w:ascii="Arial" w:hAnsi="Arial" w:cs="Arial"/>
        </w:rPr>
        <w:t xml:space="preserve"> uvedený</w:t>
      </w:r>
      <w:r w:rsidRPr="009B4EC7">
        <w:rPr>
          <w:rFonts w:ascii="Arial" w:hAnsi="Arial" w:cs="Arial"/>
        </w:rPr>
        <w:t xml:space="preserve"> ukazovateľ</w:t>
      </w:r>
      <w:r>
        <w:rPr>
          <w:rFonts w:ascii="Arial" w:hAnsi="Arial" w:cs="Arial"/>
        </w:rPr>
        <w:t xml:space="preserve"> </w:t>
      </w:r>
      <w:r w:rsidRPr="009B4EC7">
        <w:rPr>
          <w:rFonts w:ascii="Arial" w:hAnsi="Arial" w:cs="Arial"/>
        </w:rPr>
        <w:t>LME nebude dostupný počas celej doby trvania Zmluvy použije sa ukazovateľ určovaný LME, ktorý je mu svojou povahou najbližší, resp. je svojou povahou najbližší pre burzové kontrakty trvania 12 mesiacov a jeden deň</w:t>
      </w:r>
      <w:r>
        <w:rPr>
          <w:rFonts w:ascii="Arial" w:hAnsi="Arial" w:cs="Arial"/>
        </w:rPr>
        <w:t>.</w:t>
      </w:r>
    </w:p>
    <w:p w14:paraId="1C04A495" w14:textId="2E68D3B9" w:rsidR="005F2ADC" w:rsidRDefault="005F2ADC" w:rsidP="00D07B87">
      <w:pPr>
        <w:pStyle w:val="seNormalny2"/>
        <w:tabs>
          <w:tab w:val="left" w:pos="9356"/>
        </w:tabs>
        <w:spacing w:after="0"/>
        <w:ind w:left="567" w:right="113"/>
        <w:rPr>
          <w:rFonts w:ascii="Arial" w:hAnsi="Arial" w:cs="Arial"/>
        </w:rPr>
      </w:pPr>
      <w:r w:rsidRPr="009B4EC7">
        <w:rPr>
          <w:rFonts w:ascii="Arial" w:hAnsi="Arial" w:cs="Arial"/>
          <w:b/>
        </w:rPr>
        <w:t>Pôvodná cena ocele</w:t>
      </w:r>
      <w:r w:rsidRPr="009B4EC7">
        <w:rPr>
          <w:rFonts w:ascii="Arial" w:hAnsi="Arial" w:cs="Arial"/>
        </w:rPr>
        <w:t xml:space="preserve"> znamená medián </w:t>
      </w:r>
      <w:r>
        <w:rPr>
          <w:rFonts w:ascii="Arial" w:hAnsi="Arial" w:cs="Arial"/>
        </w:rPr>
        <w:t>D</w:t>
      </w:r>
      <w:r w:rsidRPr="009B4EC7">
        <w:rPr>
          <w:rFonts w:ascii="Arial" w:hAnsi="Arial" w:cs="Arial"/>
        </w:rPr>
        <w:t>enných cien ocele za obdobie 6 kalendárnych mesiacov predchádzajúcich uzavretiu Zmluvy (vrátane mesiaca v ktorom bola Zmluva uzavretá, pričom za tento mesiac sa zahrnú len dni predchádzajúce dňu uzavretia Zmluvy).</w:t>
      </w:r>
    </w:p>
    <w:p w14:paraId="068F29DE" w14:textId="371BC6EB"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druhý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šiesteho až dvanásteho</w:t>
      </w:r>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r w:rsidRPr="009B4EC7">
        <w:rPr>
          <w:rFonts w:ascii="Arial" w:hAnsi="Arial" w:cs="Arial"/>
        </w:rPr>
        <w:t>.</w:t>
      </w:r>
    </w:p>
    <w:p w14:paraId="3FAAE4C3" w14:textId="14B59D33"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tretí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 xml:space="preserve">osemnásteho až </w:t>
      </w:r>
      <w:proofErr w:type="spellStart"/>
      <w:r>
        <w:rPr>
          <w:rFonts w:ascii="Arial" w:hAnsi="Arial" w:cs="Arial"/>
        </w:rPr>
        <w:t>dvadsiatehoštvrtého</w:t>
      </w:r>
      <w:proofErr w:type="spellEnd"/>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p>
    <w:p w14:paraId="165C74C9" w14:textId="090D156B"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štvrtý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 xml:space="preserve">tridsiateho až </w:t>
      </w:r>
      <w:proofErr w:type="spellStart"/>
      <w:r>
        <w:rPr>
          <w:rFonts w:ascii="Arial" w:hAnsi="Arial" w:cs="Arial"/>
        </w:rPr>
        <w:t>tridsiatehošiesteho</w:t>
      </w:r>
      <w:proofErr w:type="spellEnd"/>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p>
    <w:p w14:paraId="55FB6DD4" w14:textId="63D4418B" w:rsidR="005F2ADC" w:rsidRDefault="005F2ADC" w:rsidP="00D07B87">
      <w:pPr>
        <w:pStyle w:val="seNormalny2"/>
        <w:tabs>
          <w:tab w:val="left" w:pos="9356"/>
        </w:tabs>
        <w:spacing w:after="0"/>
        <w:ind w:left="567" w:right="113"/>
        <w:rPr>
          <w:rFonts w:ascii="Arial" w:hAnsi="Arial" w:cs="Arial"/>
        </w:rPr>
      </w:pPr>
      <w:r w:rsidRPr="007E313A">
        <w:rPr>
          <w:rFonts w:ascii="Arial" w:hAnsi="Arial" w:cs="Arial"/>
          <w:b/>
        </w:rPr>
        <w:t>Pôvodná Kúpna cena</w:t>
      </w:r>
      <w:r>
        <w:rPr>
          <w:rFonts w:ascii="Arial" w:hAnsi="Arial" w:cs="Arial"/>
        </w:rPr>
        <w:t xml:space="preserve"> znamená Kúpnu cenu podľa bodu 4.1 Zmluvy v čase uzatvorenia Zmluvy.</w:t>
      </w:r>
    </w:p>
    <w:p w14:paraId="60E36CAD" w14:textId="1B6D7EE6"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druhý rok trvania Zmluvy</w:t>
      </w:r>
      <w:r>
        <w:rPr>
          <w:rFonts w:ascii="Arial" w:hAnsi="Arial" w:cs="Arial"/>
        </w:rPr>
        <w:t xml:space="preserve"> znamená Kúpnu cenu za Tovar, platnú na základe dodatku k Zmluve, ktorý zmluvné strany uzavrú k Zmluve, určenú podľa pravidiel uvedených v tomto Článku Zmluvy, platnú pre obdobie trinásteho (13.) až dvadsiateho štvrtého (24.) kalendárneho mesiaca trvania Zmluvy.</w:t>
      </w:r>
    </w:p>
    <w:p w14:paraId="52A9F633" w14:textId="000A8AD8"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tretí rok trvania Zmluvy</w:t>
      </w:r>
      <w:r>
        <w:rPr>
          <w:rFonts w:ascii="Arial" w:hAnsi="Arial" w:cs="Arial"/>
          <w:b/>
        </w:rPr>
        <w:t xml:space="preserve"> </w:t>
      </w:r>
      <w:r>
        <w:rPr>
          <w:rFonts w:ascii="Arial" w:hAnsi="Arial" w:cs="Arial"/>
        </w:rPr>
        <w:t>znamená Kúpnu cenu za Tovar, platnú na základe dodatku k Zmluve, ktorý zmluvné strany uzavrú k Zmluve, určenú podľa pravidiel uvedených v tomto Článku Zmluvy, platnú pre obdobie dvadsiateho piateho (25.) až tridsiateho šiesteho (36.) kalendárneho mesiaca trvania Zmluvy.</w:t>
      </w:r>
    </w:p>
    <w:p w14:paraId="2F7D3EA9" w14:textId="0F4B0D56"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štvrtý rok trvania Zmluvy</w:t>
      </w:r>
      <w:r>
        <w:rPr>
          <w:rFonts w:ascii="Arial" w:hAnsi="Arial" w:cs="Arial"/>
          <w:b/>
        </w:rPr>
        <w:t xml:space="preserve"> </w:t>
      </w:r>
      <w:r>
        <w:rPr>
          <w:rFonts w:ascii="Arial" w:hAnsi="Arial" w:cs="Arial"/>
        </w:rPr>
        <w:t>znamená Kúpnu cenu za Tovar, platnú na základe dodatku k Zmluve, ktorý zmluvné strany uzavrú k Zmluve, určenú podľa pravidiel uvedených v tomto Článku Zmluvy, platnú pre obdobie od tridsiateho siedmeho (37.) kalendárneho mesiaca (vrátane) trvania Zmluvy až do dňa skončenia Zmluvy.</w:t>
      </w:r>
    </w:p>
    <w:p w14:paraId="65538E58" w14:textId="629C330E" w:rsidR="005F2ADC" w:rsidRDefault="005F2ADC" w:rsidP="00D07B87">
      <w:pPr>
        <w:pStyle w:val="seNormalny2"/>
        <w:tabs>
          <w:tab w:val="left" w:pos="9356"/>
        </w:tabs>
        <w:spacing w:after="0"/>
        <w:ind w:left="567" w:right="113"/>
        <w:rPr>
          <w:rFonts w:ascii="Arial" w:hAnsi="Arial" w:cs="Arial"/>
        </w:rPr>
      </w:pPr>
      <w:r w:rsidRPr="00C05C67">
        <w:rPr>
          <w:rFonts w:ascii="Arial" w:hAnsi="Arial" w:cs="Arial"/>
          <w:b/>
        </w:rPr>
        <w:t>Úprava Kúpnej ceny pre druhý rok trvania Zmluvy</w:t>
      </w:r>
    </w:p>
    <w:p w14:paraId="5947F621" w14:textId="6FC76E68"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druhý rok trvania Zmluvy v porovnaní s Pôvodnou cenou ocele vyššia o menej ako 5% (vrátane 5%) z Pôvodnej ceny ocele, tak Kúpna cena pre druhý rok trvania Zmluvy ostáva vo výške Pôvodnej kúpnej ceny.</w:t>
      </w:r>
    </w:p>
    <w:p w14:paraId="50E375F4" w14:textId="74D14BE5"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druhý rok trvania Zmluvy v porovnaní s Pôvodnou cenou ocele vyššia o viac ako 5% z Pôvodnej ceny ocele, tak sa Kúpna cena pre druhý rok trvania Zmluvy určí ako hodnota Pôvodnej kúpnej ceny zvýšená o percentuálnu hodnotu (základom pre tento výpočet je Pôvodná kúpna cena) vypočítanú ako násobok percentuálneho rozdielu Porovnávanej ceny ocele pre druhý rok trvania Zmluvy v porovnaní s Pôvodnou cenou ocele a Indexu pre oceľ.</w:t>
      </w:r>
    </w:p>
    <w:p w14:paraId="1C59763F" w14:textId="12F99A9D" w:rsidR="005F2ADC" w:rsidRDefault="005F2ADC" w:rsidP="00D07B87">
      <w:pPr>
        <w:pStyle w:val="seNormalny2"/>
        <w:tabs>
          <w:tab w:val="left" w:pos="9356"/>
        </w:tabs>
        <w:spacing w:after="0"/>
        <w:ind w:left="567" w:right="113"/>
        <w:rPr>
          <w:rFonts w:ascii="Arial" w:hAnsi="Arial" w:cs="Arial"/>
        </w:rPr>
      </w:pPr>
      <w:r w:rsidRPr="004B6D3D">
        <w:rPr>
          <w:rFonts w:ascii="Arial" w:hAnsi="Arial" w:cs="Arial"/>
        </w:rPr>
        <w:lastRenderedPageBreak/>
        <w:t>(</w:t>
      </w:r>
      <w:r w:rsidRPr="004B6D3D">
        <w:rPr>
          <w:rFonts w:ascii="Arial" w:hAnsi="Arial" w:cs="Arial"/>
          <w:i/>
        </w:rPr>
        <w:t>Ako všeobecný príklad uvedeného výpočtu sa pre vylúčenie nedorozumenia zmluvných strán uvádza nasledovné: ak je Pôvodná cena ocele napríklad 1500</w:t>
      </w:r>
      <w:r w:rsidRPr="004B6D3D">
        <w:rPr>
          <w:rFonts w:ascii="Arial" w:hAnsi="Arial" w:cs="Arial"/>
          <w:i/>
          <w:lang w:val="en-US"/>
        </w:rPr>
        <w:t>$</w:t>
      </w:r>
      <w:r w:rsidRPr="004B6D3D">
        <w:rPr>
          <w:rFonts w:ascii="Arial" w:hAnsi="Arial" w:cs="Arial"/>
          <w:i/>
        </w:rPr>
        <w:t xml:space="preserve">, Porovnávaná cena ocele pre druhý rok trvania Zmluvy napríklad 2010$, teda ich percentuálny rozdiel je 34%, ak je Pôvodná kúpna cena napríklad 40 EUR, Index pre oceľ je 0,1, tak sa Kúpna cena pre druhý rok trvania Zmluvy určí tak, že Pôvodná kúpna cena (40 EUR) sa zvýši o 3,4% zo 40 EUR, pričom toto zvýšenie je vypočítané ako násobok hodnoty 34 (percentuálny rozdiel Pôvodnej ceny ocele a Porovnávanej ceny ocele pre druhý rok trvania Zmluvy) a Indexu pre oceľ 0,1 (34x0,1) </w:t>
      </w:r>
      <w:proofErr w:type="spellStart"/>
      <w:r w:rsidRPr="004B6D3D">
        <w:rPr>
          <w:rFonts w:ascii="Arial" w:hAnsi="Arial" w:cs="Arial"/>
          <w:i/>
        </w:rPr>
        <w:t>t.j</w:t>
      </w:r>
      <w:proofErr w:type="spellEnd"/>
      <w:r w:rsidRPr="004B6D3D">
        <w:rPr>
          <w:rFonts w:ascii="Arial" w:hAnsi="Arial" w:cs="Arial"/>
          <w:i/>
        </w:rPr>
        <w:t xml:space="preserve">. Kúpna cena pre druhý rok trvania Zmluvy bude vo výške 41,36 EUR. Uvedené je len príkladom výpočtu a uvedené </w:t>
      </w:r>
      <w:proofErr w:type="spellStart"/>
      <w:r w:rsidRPr="004B6D3D">
        <w:rPr>
          <w:rFonts w:ascii="Arial" w:hAnsi="Arial" w:cs="Arial"/>
          <w:i/>
        </w:rPr>
        <w:t>príkladmé</w:t>
      </w:r>
      <w:proofErr w:type="spellEnd"/>
      <w:r w:rsidRPr="004B6D3D">
        <w:rPr>
          <w:rFonts w:ascii="Arial" w:hAnsi="Arial" w:cs="Arial"/>
          <w:i/>
        </w:rPr>
        <w:t xml:space="preserve"> hodnoty, najmä kúpne ceny, nie sú súčasťou dohody zmluvných strán o jej skutočnej výške v čase uzatvorenia Zmluvy.</w:t>
      </w:r>
      <w:r w:rsidRPr="004B6D3D">
        <w:rPr>
          <w:rFonts w:ascii="Arial" w:hAnsi="Arial" w:cs="Arial"/>
        </w:rPr>
        <w:t>)</w:t>
      </w:r>
    </w:p>
    <w:p w14:paraId="6D22E3E3" w14:textId="0490FF4F" w:rsidR="005F2ADC" w:rsidRDefault="005F2ADC" w:rsidP="00D07B87">
      <w:pPr>
        <w:pStyle w:val="seNormalny2"/>
        <w:tabs>
          <w:tab w:val="left" w:pos="9356"/>
        </w:tabs>
        <w:spacing w:after="0"/>
        <w:ind w:left="567" w:right="113"/>
        <w:rPr>
          <w:rFonts w:ascii="Arial" w:hAnsi="Arial" w:cs="Arial"/>
        </w:rPr>
      </w:pPr>
      <w:r w:rsidRPr="00C4574F">
        <w:rPr>
          <w:rFonts w:ascii="Arial" w:hAnsi="Arial" w:cs="Arial"/>
          <w:b/>
        </w:rPr>
        <w:t>Úprava Kúpnej ceny pre tretí rok trvania Zmluvy</w:t>
      </w:r>
    </w:p>
    <w:p w14:paraId="51080EC2" w14:textId="1F9CCBA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tretí rok trvania Zmluvy v porovnaní s Pôvodnou cenou ocele vyššia o menej ako 5% (vrátane 5%) z Pôvodnej ceny ocele, tak Kúpna cena pre tretí rok trvania Zmluvy bude vo výške Pôvodnej kúpnej ceny.</w:t>
      </w:r>
    </w:p>
    <w:p w14:paraId="5D3CC7C9" w14:textId="60DCC56E"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percentuálny rozdiel Porovnávanej ceny ocele pre tretí rok trvania Zmluvy v porovnaní s Pôvodnou cenou ocele (počítaný z Pôvodnej ceny ocele) rovnaký ako percentuálny rozdiel Porovnávanej ceny ocele pre druhý rok trvania Zmluvy v porovnaní s Pôvodnou cenou ocele (počítaný z Pôvodnej ceny ocele), tak Kúpna cena pre tretí rok trvania Zmluvy bude vo výške Kúpnej ceny pre druhý rok trvania Zmluvy.</w:t>
      </w:r>
    </w:p>
    <w:p w14:paraId="108F011B" w14:textId="4054F70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vyšší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zvýšenej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4.6 Zmluvy</w:t>
      </w:r>
      <w:r w:rsidRPr="00C05C67">
        <w:rPr>
          <w:rFonts w:ascii="Arial" w:hAnsi="Arial" w:cs="Arial"/>
        </w:rPr>
        <w:t>.</w:t>
      </w:r>
    </w:p>
    <w:p w14:paraId="1694E757" w14:textId="392AFAE0" w:rsidR="005F2ADC" w:rsidRDefault="005F2ADC" w:rsidP="00D07B87">
      <w:pPr>
        <w:pStyle w:val="seNormalny2"/>
        <w:tabs>
          <w:tab w:val="left" w:pos="9356"/>
        </w:tabs>
        <w:spacing w:after="0"/>
        <w:ind w:left="567" w:right="113"/>
        <w:rPr>
          <w:rFonts w:ascii="Arial" w:hAnsi="Arial" w:cs="Arial"/>
        </w:rPr>
      </w:pPr>
      <w:r w:rsidRPr="00B37BAE">
        <w:rPr>
          <w:rFonts w:ascii="Arial" w:hAnsi="Arial" w:cs="Arial"/>
        </w:rPr>
        <w:t>(</w:t>
      </w:r>
      <w:r w:rsidRPr="00B37BAE">
        <w:rPr>
          <w:rFonts w:ascii="Arial" w:hAnsi="Arial" w:cs="Arial"/>
          <w:i/>
        </w:rPr>
        <w:t>Ako všeobecný príklad uvedeného výpočtu sa pre vylúčenie nedorozumenia zmluvných strán uvádza nasledovné: ak je Pôvodná cena ocele napríklad 1500</w:t>
      </w:r>
      <w:r w:rsidRPr="00B37BAE">
        <w:rPr>
          <w:rFonts w:ascii="Arial" w:hAnsi="Arial" w:cs="Arial"/>
          <w:i/>
          <w:lang w:val="en-US"/>
        </w:rPr>
        <w:t>$</w:t>
      </w:r>
      <w:r w:rsidRPr="00B37BAE">
        <w:rPr>
          <w:rFonts w:ascii="Arial" w:hAnsi="Arial" w:cs="Arial"/>
          <w:i/>
        </w:rPr>
        <w:t>, Porovnávaná cena ocele pre druhý rok trvania Zmluvy napríklad 20</w:t>
      </w:r>
      <w:r>
        <w:rPr>
          <w:rFonts w:ascii="Arial" w:hAnsi="Arial" w:cs="Arial"/>
          <w:i/>
        </w:rPr>
        <w:t>1</w:t>
      </w:r>
      <w:r w:rsidRPr="00B37BAE">
        <w:rPr>
          <w:rFonts w:ascii="Arial" w:hAnsi="Arial" w:cs="Arial"/>
          <w:i/>
        </w:rPr>
        <w:t>0$,</w:t>
      </w:r>
      <w:r>
        <w:rPr>
          <w:rFonts w:ascii="Arial" w:hAnsi="Arial" w:cs="Arial"/>
          <w:i/>
        </w:rPr>
        <w:t xml:space="preserve"> </w:t>
      </w:r>
      <w:r w:rsidRPr="00B37BAE">
        <w:rPr>
          <w:rFonts w:ascii="Arial" w:hAnsi="Arial" w:cs="Arial"/>
          <w:i/>
        </w:rPr>
        <w:t xml:space="preserve">teda ich percentuálny rozdiel je </w:t>
      </w:r>
      <w:r>
        <w:rPr>
          <w:rFonts w:ascii="Arial" w:hAnsi="Arial" w:cs="Arial"/>
          <w:i/>
        </w:rPr>
        <w:t>34</w:t>
      </w:r>
      <w:r w:rsidRPr="00B37BAE">
        <w:rPr>
          <w:rFonts w:ascii="Arial" w:hAnsi="Arial" w:cs="Arial"/>
          <w:i/>
        </w:rPr>
        <w:t>%</w:t>
      </w:r>
      <w:r>
        <w:rPr>
          <w:rFonts w:ascii="Arial" w:hAnsi="Arial" w:cs="Arial"/>
          <w:i/>
        </w:rPr>
        <w:t xml:space="preserve">, </w:t>
      </w:r>
      <w:r w:rsidRPr="00B37BAE">
        <w:rPr>
          <w:rFonts w:ascii="Arial" w:hAnsi="Arial" w:cs="Arial"/>
          <w:i/>
        </w:rPr>
        <w:t xml:space="preserve">Porovnávaná cena ocele pre </w:t>
      </w:r>
      <w:r>
        <w:rPr>
          <w:rFonts w:ascii="Arial" w:hAnsi="Arial" w:cs="Arial"/>
          <w:i/>
        </w:rPr>
        <w:t>tretí</w:t>
      </w:r>
      <w:r w:rsidRPr="00B37BAE">
        <w:rPr>
          <w:rFonts w:ascii="Arial" w:hAnsi="Arial" w:cs="Arial"/>
          <w:i/>
        </w:rPr>
        <w:t xml:space="preserve"> </w:t>
      </w:r>
      <w:r w:rsidRPr="00C4574F">
        <w:rPr>
          <w:rFonts w:ascii="Arial" w:hAnsi="Arial" w:cs="Arial"/>
          <w:i/>
        </w:rPr>
        <w:t>rok trvania Zmluvy je napríklad 2505$, teda percentuálny rozdiel Porovnávanej ceny pre tretí rok a Pôvodnej ceny ocele je 67%, ak je Kúpna cena pre druhý rok trvania Zmluvy napríklad 45 EUR, Index pre oceľ je 0,1, tak sa Kúpna cena pre tretí rok trvania Zmluvy určí tak, že Pôvodná kúpna cena (45 EUR) sa zvýši o 3,3% zo 45 EUR, pričom toto zvýšenie je vypočítané</w:t>
      </w:r>
      <w:r w:rsidRPr="00B37BAE">
        <w:rPr>
          <w:rFonts w:ascii="Arial" w:hAnsi="Arial" w:cs="Arial"/>
          <w:i/>
        </w:rPr>
        <w:t xml:space="preserve"> ako násobok hodnoty </w:t>
      </w:r>
      <w:r>
        <w:rPr>
          <w:rFonts w:ascii="Arial" w:hAnsi="Arial" w:cs="Arial"/>
          <w:i/>
        </w:rPr>
        <w:t>33</w:t>
      </w:r>
      <w:r w:rsidRPr="00B37BAE">
        <w:rPr>
          <w:rFonts w:ascii="Arial" w:hAnsi="Arial" w:cs="Arial"/>
          <w:i/>
        </w:rPr>
        <w:t xml:space="preserve"> (</w:t>
      </w:r>
      <w:r>
        <w:rPr>
          <w:rFonts w:ascii="Arial" w:hAnsi="Arial" w:cs="Arial"/>
          <w:i/>
        </w:rPr>
        <w:t xml:space="preserve">rozdiel </w:t>
      </w:r>
      <w:r w:rsidRPr="00B37BAE">
        <w:rPr>
          <w:rFonts w:ascii="Arial" w:hAnsi="Arial" w:cs="Arial"/>
          <w:i/>
        </w:rPr>
        <w:t>percentuálny</w:t>
      </w:r>
      <w:r>
        <w:rPr>
          <w:rFonts w:ascii="Arial" w:hAnsi="Arial" w:cs="Arial"/>
          <w:i/>
        </w:rPr>
        <w:t>ch</w:t>
      </w:r>
      <w:r w:rsidRPr="00B37BAE">
        <w:rPr>
          <w:rFonts w:ascii="Arial" w:hAnsi="Arial" w:cs="Arial"/>
          <w:i/>
        </w:rPr>
        <w:t xml:space="preserve"> rozdiel</w:t>
      </w:r>
      <w:r>
        <w:rPr>
          <w:rFonts w:ascii="Arial" w:hAnsi="Arial" w:cs="Arial"/>
          <w:i/>
        </w:rPr>
        <w:t>ov</w:t>
      </w:r>
      <w:r w:rsidRPr="00B37BAE">
        <w:rPr>
          <w:rFonts w:ascii="Arial" w:hAnsi="Arial" w:cs="Arial"/>
          <w:i/>
        </w:rPr>
        <w:t xml:space="preserve"> Porovnávanej ceny ocele pre </w:t>
      </w:r>
      <w:r>
        <w:rPr>
          <w:rFonts w:ascii="Arial" w:hAnsi="Arial" w:cs="Arial"/>
          <w:i/>
        </w:rPr>
        <w:t>tretí</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67 a </w:t>
      </w:r>
      <w:r w:rsidRPr="00B37BAE">
        <w:rPr>
          <w:rFonts w:ascii="Arial" w:hAnsi="Arial" w:cs="Arial"/>
          <w:i/>
        </w:rPr>
        <w:t xml:space="preserve">Porovnávanej ceny ocele pre </w:t>
      </w:r>
      <w:r>
        <w:rPr>
          <w:rFonts w:ascii="Arial" w:hAnsi="Arial" w:cs="Arial"/>
          <w:i/>
        </w:rPr>
        <w:t>druhý</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34, </w:t>
      </w:r>
      <w:proofErr w:type="spellStart"/>
      <w:r>
        <w:rPr>
          <w:rFonts w:ascii="Arial" w:hAnsi="Arial" w:cs="Arial"/>
          <w:i/>
        </w:rPr>
        <w:t>t.j</w:t>
      </w:r>
      <w:proofErr w:type="spellEnd"/>
      <w:r>
        <w:rPr>
          <w:rFonts w:ascii="Arial" w:hAnsi="Arial" w:cs="Arial"/>
          <w:i/>
        </w:rPr>
        <w:t>. 67-34=33</w:t>
      </w:r>
      <w:r w:rsidRPr="00B37BAE">
        <w:rPr>
          <w:rFonts w:ascii="Arial" w:hAnsi="Arial" w:cs="Arial"/>
          <w:i/>
        </w:rPr>
        <w:t>) a Indexu pre oceľ 0,1</w:t>
      </w:r>
      <w:r>
        <w:rPr>
          <w:rFonts w:ascii="Arial" w:hAnsi="Arial" w:cs="Arial"/>
          <w:i/>
        </w:rPr>
        <w:t xml:space="preserve"> (33x0,1)</w:t>
      </w:r>
      <w:r w:rsidRPr="00B37BAE">
        <w:rPr>
          <w:rFonts w:ascii="Arial" w:hAnsi="Arial" w:cs="Arial"/>
          <w:i/>
        </w:rPr>
        <w:t xml:space="preserve"> </w:t>
      </w:r>
      <w:proofErr w:type="spellStart"/>
      <w:r w:rsidRPr="00B37BAE">
        <w:rPr>
          <w:rFonts w:ascii="Arial" w:hAnsi="Arial" w:cs="Arial"/>
          <w:i/>
        </w:rPr>
        <w:t>t.j</w:t>
      </w:r>
      <w:proofErr w:type="spellEnd"/>
      <w:r w:rsidRPr="00B37BAE">
        <w:rPr>
          <w:rFonts w:ascii="Arial" w:hAnsi="Arial" w:cs="Arial"/>
          <w:i/>
        </w:rPr>
        <w:t xml:space="preserve">. Kúpna cena pre </w:t>
      </w:r>
      <w:r>
        <w:rPr>
          <w:rFonts w:ascii="Arial" w:hAnsi="Arial" w:cs="Arial"/>
          <w:i/>
        </w:rPr>
        <w:t>tretí</w:t>
      </w:r>
      <w:r w:rsidRPr="00B37BAE">
        <w:rPr>
          <w:rFonts w:ascii="Arial" w:hAnsi="Arial" w:cs="Arial"/>
          <w:i/>
        </w:rPr>
        <w:t xml:space="preserve"> rok trvania Zmluvy bude vo výške </w:t>
      </w:r>
      <w:r>
        <w:rPr>
          <w:rFonts w:ascii="Arial" w:hAnsi="Arial" w:cs="Arial"/>
          <w:i/>
        </w:rPr>
        <w:t>46,485</w:t>
      </w:r>
      <w:r w:rsidRPr="00B37BAE">
        <w:rPr>
          <w:rFonts w:ascii="Arial" w:hAnsi="Arial" w:cs="Arial"/>
          <w:i/>
        </w:rPr>
        <w:t xml:space="preserve"> EUR</w:t>
      </w:r>
      <w:r>
        <w:rPr>
          <w:rFonts w:ascii="Arial" w:hAnsi="Arial" w:cs="Arial"/>
          <w:i/>
        </w:rPr>
        <w:t>, zaokrúhlene 46,49 EUR</w:t>
      </w:r>
      <w:r w:rsidRPr="00B37BAE">
        <w:rPr>
          <w:rFonts w:ascii="Arial" w:hAnsi="Arial" w:cs="Arial"/>
          <w:i/>
        </w:rPr>
        <w:t>. Uvedené je len príkladom výpočtu a</w:t>
      </w:r>
      <w:r>
        <w:rPr>
          <w:rFonts w:ascii="Arial" w:hAnsi="Arial" w:cs="Arial"/>
          <w:i/>
        </w:rPr>
        <w:t> </w:t>
      </w:r>
      <w:r w:rsidRPr="00B37BAE">
        <w:rPr>
          <w:rFonts w:ascii="Arial" w:hAnsi="Arial" w:cs="Arial"/>
          <w:i/>
        </w:rPr>
        <w:t>uvedené</w:t>
      </w:r>
      <w:r>
        <w:rPr>
          <w:rFonts w:ascii="Arial" w:hAnsi="Arial" w:cs="Arial"/>
          <w:i/>
        </w:rPr>
        <w:t xml:space="preserve"> </w:t>
      </w:r>
      <w:proofErr w:type="spellStart"/>
      <w:r>
        <w:rPr>
          <w:rFonts w:ascii="Arial" w:hAnsi="Arial" w:cs="Arial"/>
          <w:i/>
        </w:rPr>
        <w:t>príkladmé</w:t>
      </w:r>
      <w:proofErr w:type="spellEnd"/>
      <w:r w:rsidRPr="00B37BAE">
        <w:rPr>
          <w:rFonts w:ascii="Arial" w:hAnsi="Arial" w:cs="Arial"/>
          <w:i/>
        </w:rPr>
        <w:t xml:space="preserve"> hodnoty, najmä kúpne ceny, nie sú súčasťou dohody zmluvných strán o</w:t>
      </w:r>
      <w:r>
        <w:rPr>
          <w:rFonts w:ascii="Arial" w:hAnsi="Arial" w:cs="Arial"/>
          <w:i/>
        </w:rPr>
        <w:t> </w:t>
      </w:r>
      <w:r w:rsidRPr="00B37BAE">
        <w:rPr>
          <w:rFonts w:ascii="Arial" w:hAnsi="Arial" w:cs="Arial"/>
          <w:i/>
        </w:rPr>
        <w:t>jej</w:t>
      </w:r>
      <w:r>
        <w:rPr>
          <w:rFonts w:ascii="Arial" w:hAnsi="Arial" w:cs="Arial"/>
          <w:i/>
        </w:rPr>
        <w:t xml:space="preserve"> skutočnej</w:t>
      </w:r>
      <w:r w:rsidRPr="00B37BAE">
        <w:rPr>
          <w:rFonts w:ascii="Arial" w:hAnsi="Arial" w:cs="Arial"/>
          <w:i/>
        </w:rPr>
        <w:t xml:space="preserve"> výške v čase uzatvorenia Zmluv</w:t>
      </w:r>
      <w:r w:rsidRPr="006F644E">
        <w:rPr>
          <w:rFonts w:ascii="Arial" w:hAnsi="Arial" w:cs="Arial"/>
          <w:i/>
        </w:rPr>
        <w:t>y.</w:t>
      </w:r>
      <w:r w:rsidRPr="006F644E">
        <w:rPr>
          <w:rFonts w:ascii="Arial" w:hAnsi="Arial" w:cs="Arial"/>
        </w:rPr>
        <w:t>)</w:t>
      </w:r>
    </w:p>
    <w:p w14:paraId="119A3747" w14:textId="00C13167"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nižší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zníženej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w:t>
      </w:r>
      <w:r w:rsidRPr="00C05C67">
        <w:rPr>
          <w:rFonts w:ascii="Arial" w:hAnsi="Arial" w:cs="Arial"/>
        </w:rPr>
        <w:lastRenderedPageBreak/>
        <w:t xml:space="preserve">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4.6 Zmluvy</w:t>
      </w:r>
      <w:r w:rsidRPr="00C05C67">
        <w:rPr>
          <w:rFonts w:ascii="Arial" w:hAnsi="Arial" w:cs="Arial"/>
        </w:rPr>
        <w:t xml:space="preserve">. Zmluvné strany sa zároveň dohodli, že úpravou (znížením) ceny podľa tohto bodu nemôže byť Kúpna cena pre tretí rok trvania Zmluvy znížená pod hodnotu Pôvodnej Kúpnej ceny, </w:t>
      </w:r>
      <w:proofErr w:type="spellStart"/>
      <w:r w:rsidRPr="00C05C67">
        <w:rPr>
          <w:rFonts w:ascii="Arial" w:hAnsi="Arial" w:cs="Arial"/>
        </w:rPr>
        <w:t>t.j</w:t>
      </w:r>
      <w:proofErr w:type="spellEnd"/>
      <w:r w:rsidRPr="00C05C67">
        <w:rPr>
          <w:rFonts w:ascii="Arial" w:hAnsi="Arial" w:cs="Arial"/>
        </w:rPr>
        <w:t>. maximálne zníženie je možné na hodnotu Pôvodnej Kúpnej ceny.</w:t>
      </w:r>
    </w:p>
    <w:p w14:paraId="0E90E94E" w14:textId="1A44B7FD" w:rsidR="005F2ADC" w:rsidRDefault="005F2ADC" w:rsidP="00D07B87">
      <w:pPr>
        <w:pStyle w:val="seNormalny2"/>
        <w:tabs>
          <w:tab w:val="left" w:pos="9356"/>
        </w:tabs>
        <w:spacing w:after="0"/>
        <w:ind w:left="567" w:right="113"/>
        <w:rPr>
          <w:rFonts w:ascii="Arial" w:hAnsi="Arial" w:cs="Arial"/>
        </w:rPr>
      </w:pPr>
      <w:r w:rsidRPr="00B37BAE">
        <w:rPr>
          <w:rFonts w:ascii="Arial" w:hAnsi="Arial" w:cs="Arial"/>
        </w:rPr>
        <w:t>(</w:t>
      </w:r>
      <w:r w:rsidRPr="00B37BAE">
        <w:rPr>
          <w:rFonts w:ascii="Arial" w:hAnsi="Arial" w:cs="Arial"/>
          <w:i/>
        </w:rPr>
        <w:t>Ako všeobecný príklad uvedeného výpočtu sa pre vylúčenie nedorozumenia zmluvných strán uvádza nasledovné: ak je Pôvodná cena ocele napríklad 1500</w:t>
      </w:r>
      <w:r w:rsidRPr="00B37BAE">
        <w:rPr>
          <w:rFonts w:ascii="Arial" w:hAnsi="Arial" w:cs="Arial"/>
          <w:i/>
          <w:lang w:val="en-US"/>
        </w:rPr>
        <w:t>$</w:t>
      </w:r>
      <w:r w:rsidRPr="00B37BAE">
        <w:rPr>
          <w:rFonts w:ascii="Arial" w:hAnsi="Arial" w:cs="Arial"/>
          <w:i/>
        </w:rPr>
        <w:t>, Porovnávaná cena ocele pre druhý rok trvania Zmluvy napríklad 20</w:t>
      </w:r>
      <w:r>
        <w:rPr>
          <w:rFonts w:ascii="Arial" w:hAnsi="Arial" w:cs="Arial"/>
          <w:i/>
        </w:rPr>
        <w:t>1</w:t>
      </w:r>
      <w:r w:rsidRPr="00B37BAE">
        <w:rPr>
          <w:rFonts w:ascii="Arial" w:hAnsi="Arial" w:cs="Arial"/>
          <w:i/>
        </w:rPr>
        <w:t>0$,</w:t>
      </w:r>
      <w:r>
        <w:rPr>
          <w:rFonts w:ascii="Arial" w:hAnsi="Arial" w:cs="Arial"/>
          <w:i/>
        </w:rPr>
        <w:t xml:space="preserve"> </w:t>
      </w:r>
      <w:r w:rsidRPr="00B37BAE">
        <w:rPr>
          <w:rFonts w:ascii="Arial" w:hAnsi="Arial" w:cs="Arial"/>
          <w:i/>
        </w:rPr>
        <w:t xml:space="preserve">teda ich percentuálny rozdiel je </w:t>
      </w:r>
      <w:r>
        <w:rPr>
          <w:rFonts w:ascii="Arial" w:hAnsi="Arial" w:cs="Arial"/>
          <w:i/>
        </w:rPr>
        <w:t>34</w:t>
      </w:r>
      <w:r w:rsidRPr="00B37BAE">
        <w:rPr>
          <w:rFonts w:ascii="Arial" w:hAnsi="Arial" w:cs="Arial"/>
          <w:i/>
        </w:rPr>
        <w:t>%</w:t>
      </w:r>
      <w:r>
        <w:rPr>
          <w:rFonts w:ascii="Arial" w:hAnsi="Arial" w:cs="Arial"/>
          <w:i/>
        </w:rPr>
        <w:t xml:space="preserve">, </w:t>
      </w:r>
      <w:r w:rsidRPr="00C05C67">
        <w:rPr>
          <w:rFonts w:ascii="Arial" w:hAnsi="Arial" w:cs="Arial"/>
          <w:i/>
        </w:rPr>
        <w:t>Porovnávaná cena ocele pre tretí rok trvania Zmluvy je napríklad 1800$, teda percentuálny rozdiel Porovnávanej ceny pre tretí rok a Pôvodnej ceny ocele je 20%, ak je Kúpna cena pre druhý rok trvania Zmluvy napríklad 45 EUR, Index pre oceľ je 0,1, tak sa Kúpna cena pre tretí rok trvania Zmluvy určí tak, že Pôvodná kúpna cena (45 EUR) sa zníži o 1,4% zo 45 EUR, pričom toto zníženie je vypočítané ako násobok</w:t>
      </w:r>
      <w:r w:rsidRPr="00B37BAE">
        <w:rPr>
          <w:rFonts w:ascii="Arial" w:hAnsi="Arial" w:cs="Arial"/>
          <w:i/>
        </w:rPr>
        <w:t xml:space="preserve"> hodnoty </w:t>
      </w:r>
      <w:r>
        <w:rPr>
          <w:rFonts w:ascii="Arial" w:hAnsi="Arial" w:cs="Arial"/>
          <w:i/>
        </w:rPr>
        <w:t>14</w:t>
      </w:r>
      <w:r w:rsidRPr="00B37BAE">
        <w:rPr>
          <w:rFonts w:ascii="Arial" w:hAnsi="Arial" w:cs="Arial"/>
          <w:i/>
        </w:rPr>
        <w:t xml:space="preserve"> (</w:t>
      </w:r>
      <w:r>
        <w:rPr>
          <w:rFonts w:ascii="Arial" w:hAnsi="Arial" w:cs="Arial"/>
          <w:i/>
        </w:rPr>
        <w:t xml:space="preserve">rozdiel </w:t>
      </w:r>
      <w:r w:rsidRPr="00B37BAE">
        <w:rPr>
          <w:rFonts w:ascii="Arial" w:hAnsi="Arial" w:cs="Arial"/>
          <w:i/>
        </w:rPr>
        <w:t>percentuálny</w:t>
      </w:r>
      <w:r>
        <w:rPr>
          <w:rFonts w:ascii="Arial" w:hAnsi="Arial" w:cs="Arial"/>
          <w:i/>
        </w:rPr>
        <w:t>ch</w:t>
      </w:r>
      <w:r w:rsidRPr="00B37BAE">
        <w:rPr>
          <w:rFonts w:ascii="Arial" w:hAnsi="Arial" w:cs="Arial"/>
          <w:i/>
        </w:rPr>
        <w:t xml:space="preserve"> rozdiel</w:t>
      </w:r>
      <w:r>
        <w:rPr>
          <w:rFonts w:ascii="Arial" w:hAnsi="Arial" w:cs="Arial"/>
          <w:i/>
        </w:rPr>
        <w:t>ov</w:t>
      </w:r>
      <w:r w:rsidRPr="00B37BAE">
        <w:rPr>
          <w:rFonts w:ascii="Arial" w:hAnsi="Arial" w:cs="Arial"/>
          <w:i/>
        </w:rPr>
        <w:t xml:space="preserve"> Porovnávanej ceny ocele pre </w:t>
      </w:r>
      <w:r>
        <w:rPr>
          <w:rFonts w:ascii="Arial" w:hAnsi="Arial" w:cs="Arial"/>
          <w:i/>
        </w:rPr>
        <w:t>tretí</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20 a </w:t>
      </w:r>
      <w:r w:rsidRPr="00B37BAE">
        <w:rPr>
          <w:rFonts w:ascii="Arial" w:hAnsi="Arial" w:cs="Arial"/>
          <w:i/>
        </w:rPr>
        <w:t xml:space="preserve">Porovnávanej ceny ocele pre </w:t>
      </w:r>
      <w:r>
        <w:rPr>
          <w:rFonts w:ascii="Arial" w:hAnsi="Arial" w:cs="Arial"/>
          <w:i/>
        </w:rPr>
        <w:t>druhý</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34, </w:t>
      </w:r>
      <w:proofErr w:type="spellStart"/>
      <w:r>
        <w:rPr>
          <w:rFonts w:ascii="Arial" w:hAnsi="Arial" w:cs="Arial"/>
          <w:i/>
        </w:rPr>
        <w:t>t.j</w:t>
      </w:r>
      <w:proofErr w:type="spellEnd"/>
      <w:r>
        <w:rPr>
          <w:rFonts w:ascii="Arial" w:hAnsi="Arial" w:cs="Arial"/>
          <w:i/>
        </w:rPr>
        <w:t>. 34-20=14</w:t>
      </w:r>
      <w:r w:rsidRPr="00B37BAE">
        <w:rPr>
          <w:rFonts w:ascii="Arial" w:hAnsi="Arial" w:cs="Arial"/>
          <w:i/>
        </w:rPr>
        <w:t>) a Indexu pre oceľ 0,1</w:t>
      </w:r>
      <w:r>
        <w:rPr>
          <w:rFonts w:ascii="Arial" w:hAnsi="Arial" w:cs="Arial"/>
          <w:i/>
        </w:rPr>
        <w:t xml:space="preserve"> (14x0,1)</w:t>
      </w:r>
      <w:r w:rsidRPr="00B37BAE">
        <w:rPr>
          <w:rFonts w:ascii="Arial" w:hAnsi="Arial" w:cs="Arial"/>
          <w:i/>
        </w:rPr>
        <w:t xml:space="preserve"> </w:t>
      </w:r>
      <w:proofErr w:type="spellStart"/>
      <w:r w:rsidRPr="00B37BAE">
        <w:rPr>
          <w:rFonts w:ascii="Arial" w:hAnsi="Arial" w:cs="Arial"/>
          <w:i/>
        </w:rPr>
        <w:t>t.j</w:t>
      </w:r>
      <w:proofErr w:type="spellEnd"/>
      <w:r w:rsidRPr="00B37BAE">
        <w:rPr>
          <w:rFonts w:ascii="Arial" w:hAnsi="Arial" w:cs="Arial"/>
          <w:i/>
        </w:rPr>
        <w:t xml:space="preserve">. Kúpna cena pre </w:t>
      </w:r>
      <w:r>
        <w:rPr>
          <w:rFonts w:ascii="Arial" w:hAnsi="Arial" w:cs="Arial"/>
          <w:i/>
        </w:rPr>
        <w:t>tretí</w:t>
      </w:r>
      <w:r w:rsidRPr="00B37BAE">
        <w:rPr>
          <w:rFonts w:ascii="Arial" w:hAnsi="Arial" w:cs="Arial"/>
          <w:i/>
        </w:rPr>
        <w:t xml:space="preserve"> rok trvania Zmluvy bude vo výške </w:t>
      </w:r>
      <w:r>
        <w:rPr>
          <w:rFonts w:ascii="Arial" w:hAnsi="Arial" w:cs="Arial"/>
          <w:i/>
        </w:rPr>
        <w:t>44,37</w:t>
      </w:r>
      <w:r w:rsidRPr="00B37BAE">
        <w:rPr>
          <w:rFonts w:ascii="Arial" w:hAnsi="Arial" w:cs="Arial"/>
          <w:i/>
        </w:rPr>
        <w:t xml:space="preserve"> EUR. Uvedené je len príkladom výpočtu a</w:t>
      </w:r>
      <w:r>
        <w:rPr>
          <w:rFonts w:ascii="Arial" w:hAnsi="Arial" w:cs="Arial"/>
          <w:i/>
        </w:rPr>
        <w:t> </w:t>
      </w:r>
      <w:r w:rsidRPr="00B37BAE">
        <w:rPr>
          <w:rFonts w:ascii="Arial" w:hAnsi="Arial" w:cs="Arial"/>
          <w:i/>
        </w:rPr>
        <w:t>uvedené</w:t>
      </w:r>
      <w:r>
        <w:rPr>
          <w:rFonts w:ascii="Arial" w:hAnsi="Arial" w:cs="Arial"/>
          <w:i/>
        </w:rPr>
        <w:t xml:space="preserve"> </w:t>
      </w:r>
      <w:proofErr w:type="spellStart"/>
      <w:r>
        <w:rPr>
          <w:rFonts w:ascii="Arial" w:hAnsi="Arial" w:cs="Arial"/>
          <w:i/>
        </w:rPr>
        <w:t>príkladmé</w:t>
      </w:r>
      <w:proofErr w:type="spellEnd"/>
      <w:r w:rsidRPr="00B37BAE">
        <w:rPr>
          <w:rFonts w:ascii="Arial" w:hAnsi="Arial" w:cs="Arial"/>
          <w:i/>
        </w:rPr>
        <w:t xml:space="preserve"> hodnoty, najmä kúpne ceny, nie sú súčasťou dohody zmluvných strán o</w:t>
      </w:r>
      <w:r>
        <w:rPr>
          <w:rFonts w:ascii="Arial" w:hAnsi="Arial" w:cs="Arial"/>
          <w:i/>
        </w:rPr>
        <w:t> </w:t>
      </w:r>
      <w:r w:rsidRPr="00B37BAE">
        <w:rPr>
          <w:rFonts w:ascii="Arial" w:hAnsi="Arial" w:cs="Arial"/>
          <w:i/>
        </w:rPr>
        <w:t>jej</w:t>
      </w:r>
      <w:r>
        <w:rPr>
          <w:rFonts w:ascii="Arial" w:hAnsi="Arial" w:cs="Arial"/>
          <w:i/>
        </w:rPr>
        <w:t xml:space="preserve"> skutočnej</w:t>
      </w:r>
      <w:r w:rsidRPr="00B37BAE">
        <w:rPr>
          <w:rFonts w:ascii="Arial" w:hAnsi="Arial" w:cs="Arial"/>
          <w:i/>
        </w:rPr>
        <w:t xml:space="preserve"> výške v čase uzatvorenia </w:t>
      </w:r>
      <w:r w:rsidRPr="006F644E">
        <w:rPr>
          <w:rFonts w:ascii="Arial" w:hAnsi="Arial" w:cs="Arial"/>
          <w:i/>
        </w:rPr>
        <w:t>Zmluvy.</w:t>
      </w:r>
      <w:r w:rsidRPr="006F644E">
        <w:rPr>
          <w:rFonts w:ascii="Arial" w:hAnsi="Arial" w:cs="Arial"/>
        </w:rPr>
        <w:t>)</w:t>
      </w:r>
    </w:p>
    <w:p w14:paraId="516FC2FE" w14:textId="05F79277" w:rsidR="005F2ADC" w:rsidRDefault="005F2ADC" w:rsidP="00D07B87">
      <w:pPr>
        <w:pStyle w:val="seNormalny2"/>
        <w:tabs>
          <w:tab w:val="left" w:pos="9356"/>
        </w:tabs>
        <w:spacing w:after="0"/>
        <w:ind w:left="567" w:right="113"/>
        <w:rPr>
          <w:rFonts w:ascii="Arial" w:hAnsi="Arial" w:cs="Arial"/>
        </w:rPr>
      </w:pPr>
      <w:r w:rsidRPr="00C4574F">
        <w:rPr>
          <w:rFonts w:ascii="Arial" w:hAnsi="Arial" w:cs="Arial"/>
          <w:b/>
        </w:rPr>
        <w:t xml:space="preserve">Úprava Kúpnej ceny pre </w:t>
      </w:r>
      <w:r>
        <w:rPr>
          <w:rFonts w:ascii="Arial" w:hAnsi="Arial" w:cs="Arial"/>
          <w:b/>
        </w:rPr>
        <w:t>štvrtý</w:t>
      </w:r>
      <w:r w:rsidRPr="00C4574F">
        <w:rPr>
          <w:rFonts w:ascii="Arial" w:hAnsi="Arial" w:cs="Arial"/>
          <w:b/>
        </w:rPr>
        <w:t xml:space="preserve"> rok trvania Zmluvy</w:t>
      </w:r>
    </w:p>
    <w:p w14:paraId="0D93726C" w14:textId="75A99378"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štvrtý rok trvania Zmluvy v porovnaní s Pôvodnou cenou ocele vyššia o menej ako 5% (vrátane 5%) z Pôvodnej ceny ocele, tak Kúpna cena pre štvrtý rok trvania Zmluvy bude vo výške Pôvodnej kúpnej ceny.</w:t>
      </w:r>
    </w:p>
    <w:p w14:paraId="058B4F2B" w14:textId="2AE7F58E"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percentuálny rozdiel Porovnávanej ceny ocele pre štvrtý rok trvania Zmluvy v porovnaní s Pôvodnou cenou ocele (počítaný z Pôvodnej ceny ocele) rovnaký ako percentuálny rozdiel Porovnávanej ceny ocele pre tretí rok trvania Zmluvy v porovnaní s Pôvodnou cenou ocele (počítaný z Pôvodnej ceny ocele), tak Kúpna cena pre štvrtý rok trvania Zmluvy bude vo výške Kúpnej ceny pre druhý rok trvania Zmluvy.</w:t>
      </w:r>
    </w:p>
    <w:p w14:paraId="1FC407E7" w14:textId="20AE174C"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vyšší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zvýšenej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4.10 Zmluvy</w:t>
      </w:r>
      <w:r w:rsidRPr="00C05C67">
        <w:rPr>
          <w:rFonts w:ascii="Arial" w:hAnsi="Arial" w:cs="Arial"/>
        </w:rPr>
        <w:t>.</w:t>
      </w:r>
    </w:p>
    <w:p w14:paraId="51C08052" w14:textId="7B2D080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nižší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zníženej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4.10 Zmluvy</w:t>
      </w:r>
      <w:r w:rsidRPr="00C05C67">
        <w:rPr>
          <w:rFonts w:ascii="Arial" w:hAnsi="Arial" w:cs="Arial"/>
        </w:rPr>
        <w:t xml:space="preserve">. Zmluvné strany sa zároveň dohodli, že úpravou (znížením) ceny podľa tohto bodu nemôže byť Kúpna cena pre štvrtý rok trvania Zmluvy znížená pod hodnotu Pôvodnej Kúpnej ceny, </w:t>
      </w:r>
      <w:proofErr w:type="spellStart"/>
      <w:r w:rsidRPr="00C05C67">
        <w:rPr>
          <w:rFonts w:ascii="Arial" w:hAnsi="Arial" w:cs="Arial"/>
        </w:rPr>
        <w:t>t.j</w:t>
      </w:r>
      <w:proofErr w:type="spellEnd"/>
      <w:r w:rsidRPr="00C05C67">
        <w:rPr>
          <w:rFonts w:ascii="Arial" w:hAnsi="Arial" w:cs="Arial"/>
        </w:rPr>
        <w:t>. maximálne zníženie je možné na hodnotu Pôvodnej Kúpnej ceny.</w:t>
      </w:r>
    </w:p>
    <w:p w14:paraId="099928CB" w14:textId="3A0AD7D2" w:rsidR="005F2ADC" w:rsidRDefault="005F2ADC" w:rsidP="006D6917">
      <w:pPr>
        <w:pStyle w:val="seNormalny2"/>
        <w:numPr>
          <w:ilvl w:val="1"/>
          <w:numId w:val="27"/>
        </w:numPr>
        <w:tabs>
          <w:tab w:val="left" w:pos="9356"/>
        </w:tabs>
        <w:spacing w:after="0"/>
        <w:ind w:right="113"/>
        <w:rPr>
          <w:rFonts w:ascii="Arial" w:hAnsi="Arial" w:cs="Arial"/>
        </w:rPr>
      </w:pPr>
      <w:r w:rsidRPr="006F644E">
        <w:rPr>
          <w:rFonts w:ascii="Arial" w:hAnsi="Arial" w:cs="Arial"/>
        </w:rPr>
        <w:lastRenderedPageBreak/>
        <w:t>Zmluvné strany sa zaväzujú vyvinúť všetko úsilie na to, aby bol každý z dodatkov upravujúcich Kúpnu cenu pre druhý rok trvania Zmluvy, Kúpnu cenu pre tretí rok trvania Zmluvy a Kúpnu cenu pre štvrtý rok trvania Zmluvy uzatvorený najneskôr do 30 dní od uplynutia obdobia rozhodného pre posúdenie údajov potrebných pre výpočet úpravy Kúpnej ceny.</w:t>
      </w:r>
    </w:p>
    <w:p w14:paraId="00E54D88" w14:textId="4E985383" w:rsidR="006D6917"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8"/>
      <w:bookmarkEnd w:id="9"/>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0280D253"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D0660C">
        <w:rPr>
          <w:rFonts w:ascii="Arial" w:hAnsi="Arial" w:cs="Arial"/>
          <w:highlight w:val="green"/>
        </w:rPr>
        <w:t>60</w:t>
      </w:r>
      <w:r w:rsidR="00D0660C" w:rsidRPr="007356A7">
        <w:rPr>
          <w:rFonts w:ascii="Arial" w:hAnsi="Arial" w:cs="Arial"/>
          <w:highlight w:val="green"/>
        </w:rPr>
        <w:t xml:space="preserve"> </w:t>
      </w:r>
      <w:r w:rsidR="006D6917" w:rsidRPr="007356A7">
        <w:rPr>
          <w:rFonts w:ascii="Arial" w:hAnsi="Arial" w:cs="Arial"/>
          <w:highlight w:val="green"/>
        </w:rPr>
        <w:t>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23116B9B"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Voľbu nároku, ktorý si Kupujúci vo vzťahu k vade uplatňuje a primeranú lehotu, v ktorej má Predávajúci poskytnúť zvolené záručné plnenie oznámi Predávajúcemu:</w:t>
      </w:r>
    </w:p>
    <w:p w14:paraId="00E54D9D" w14:textId="77777777" w:rsidR="006D6917" w:rsidRPr="00F719C4" w:rsidRDefault="00261FDC"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v</w:t>
      </w:r>
      <w:r w:rsidR="006D6917" w:rsidRPr="00F719C4">
        <w:rPr>
          <w:rFonts w:ascii="Arial" w:hAnsi="Arial" w:cs="Arial"/>
          <w:highlight w:val="green"/>
        </w:rPr>
        <w:t> Oznámení vád, alebo</w:t>
      </w:r>
    </w:p>
    <w:p w14:paraId="00E54D9E" w14:textId="28E71122" w:rsidR="006D6917" w:rsidRPr="00F719C4" w:rsidRDefault="006D6917"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 xml:space="preserve">písomne do </w:t>
      </w:r>
      <w:r w:rsidR="00DA5EEC" w:rsidRPr="00F719C4">
        <w:rPr>
          <w:rFonts w:ascii="Arial" w:hAnsi="Arial" w:cs="Arial"/>
          <w:highlight w:val="green"/>
        </w:rPr>
        <w:t>7</w:t>
      </w:r>
      <w:r w:rsidRPr="00F719C4">
        <w:rPr>
          <w:rFonts w:ascii="Arial" w:hAnsi="Arial" w:cs="Arial"/>
          <w:highlight w:val="green"/>
        </w:rPr>
        <w:t xml:space="preserve"> pracovných dní po zaslaní tohto </w:t>
      </w:r>
      <w:r w:rsidR="008D3BE6" w:rsidRPr="00F719C4">
        <w:rPr>
          <w:rFonts w:ascii="Arial" w:hAnsi="Arial" w:cs="Arial"/>
          <w:highlight w:val="green"/>
        </w:rPr>
        <w:t>O</w:t>
      </w:r>
      <w:r w:rsidRPr="00F719C4">
        <w:rPr>
          <w:rFonts w:ascii="Arial" w:hAnsi="Arial" w:cs="Arial"/>
          <w:highlight w:val="green"/>
        </w:rPr>
        <w:t>známenia</w:t>
      </w:r>
      <w:r w:rsidR="008D3BE6" w:rsidRPr="00F719C4">
        <w:rPr>
          <w:rFonts w:ascii="Arial" w:hAnsi="Arial" w:cs="Arial"/>
          <w:highlight w:val="green"/>
        </w:rPr>
        <w:t xml:space="preserve"> vád</w:t>
      </w:r>
      <w:r w:rsidRPr="00F719C4">
        <w:rPr>
          <w:rFonts w:ascii="Arial" w:hAnsi="Arial" w:cs="Arial"/>
          <w:highlight w:val="green"/>
        </w:rPr>
        <w:t xml:space="preserve"> Predávajúcemu, prípadne od posúdenia charakteru vady Predávajúcim, ak je k tomuto posúdeniu </w:t>
      </w:r>
      <w:r w:rsidR="00B7450A" w:rsidRPr="00F719C4">
        <w:rPr>
          <w:rFonts w:ascii="Arial" w:hAnsi="Arial" w:cs="Arial"/>
          <w:highlight w:val="green"/>
        </w:rPr>
        <w:t xml:space="preserve">na základe rozhodnutia Kupujúceho </w:t>
      </w:r>
      <w:r w:rsidRPr="00F719C4">
        <w:rPr>
          <w:rFonts w:ascii="Arial" w:hAnsi="Arial" w:cs="Arial"/>
          <w:highlight w:val="green"/>
        </w:rPr>
        <w:t xml:space="preserve">potrebná súčinnosť Predávajúceho. </w:t>
      </w:r>
    </w:p>
    <w:p w14:paraId="00E54D9F"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Zmluvné strany sa dohodli, že Predávajúci je povinný poskytnúť Kupujúcemu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F719C4" w:rsidRDefault="006D6917" w:rsidP="0057710A">
      <w:pPr>
        <w:pStyle w:val="seNormalny2"/>
        <w:tabs>
          <w:tab w:val="left" w:pos="9356"/>
        </w:tabs>
        <w:spacing w:after="120"/>
        <w:ind w:left="0" w:right="113"/>
        <w:jc w:val="center"/>
        <w:rPr>
          <w:rFonts w:ascii="Arial" w:hAnsi="Arial" w:cs="Arial"/>
          <w:b/>
          <w:highlight w:val="green"/>
        </w:rPr>
      </w:pPr>
      <w:r w:rsidRPr="00F719C4">
        <w:rPr>
          <w:rFonts w:ascii="Arial" w:hAnsi="Arial" w:cs="Arial"/>
          <w:b/>
          <w:highlight w:val="green"/>
        </w:rPr>
        <w:t>Zmluvné sankcie</w:t>
      </w:r>
    </w:p>
    <w:p w14:paraId="00E54DB4" w14:textId="5B605CFE" w:rsidR="006D6917" w:rsidRPr="00F719C4" w:rsidRDefault="00811742"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F719C4">
        <w:rPr>
          <w:rFonts w:ascii="Arial" w:hAnsi="Arial" w:cs="Arial"/>
          <w:color w:val="000000"/>
          <w:highlight w:val="green"/>
        </w:rPr>
        <w:lastRenderedPageBreak/>
        <w:t>V</w:t>
      </w:r>
      <w:r w:rsidR="00141E0E" w:rsidRPr="00F719C4">
        <w:rPr>
          <w:rFonts w:ascii="Arial" w:hAnsi="Arial" w:cs="Arial"/>
          <w:color w:val="000000"/>
          <w:highlight w:val="green"/>
        </w:rPr>
        <w:t xml:space="preserve"> prípade omeškania s plnením peňažných záväzkov </w:t>
      </w:r>
      <w:r w:rsidRPr="00F719C4">
        <w:rPr>
          <w:rFonts w:ascii="Arial" w:hAnsi="Arial" w:cs="Arial"/>
          <w:highlight w:val="green"/>
        </w:rPr>
        <w:t>si veriteľ</w:t>
      </w:r>
      <w:r w:rsidR="00141E0E" w:rsidRPr="00F719C4">
        <w:rPr>
          <w:rFonts w:ascii="Arial" w:hAnsi="Arial" w:cs="Arial"/>
          <w:color w:val="000000"/>
          <w:highlight w:val="green"/>
        </w:rPr>
        <w:t xml:space="preserve"> </w:t>
      </w:r>
      <w:r w:rsidR="006D6917" w:rsidRPr="00F719C4">
        <w:rPr>
          <w:rFonts w:ascii="Arial" w:hAnsi="Arial" w:cs="Arial"/>
          <w:color w:val="000000"/>
          <w:highlight w:val="green"/>
        </w:rPr>
        <w:t xml:space="preserve">môže uplatniť úrok z omeškania vo výške </w:t>
      </w:r>
      <w:r w:rsidR="00376E57" w:rsidRPr="00F719C4">
        <w:rPr>
          <w:rFonts w:ascii="Arial" w:hAnsi="Arial" w:cs="Arial"/>
          <w:color w:val="000000"/>
          <w:highlight w:val="green"/>
        </w:rPr>
        <w:t>0,02</w:t>
      </w:r>
      <w:r w:rsidR="006D6917" w:rsidRPr="00F719C4">
        <w:rPr>
          <w:rFonts w:ascii="Arial" w:hAnsi="Arial" w:cs="Arial"/>
          <w:highlight w:val="green"/>
        </w:rPr>
        <w:t xml:space="preserve"> % </w:t>
      </w:r>
      <w:r w:rsidR="006D6917" w:rsidRPr="00F719C4">
        <w:rPr>
          <w:rFonts w:ascii="Arial" w:hAnsi="Arial" w:cs="Arial"/>
          <w:color w:val="000000"/>
          <w:highlight w:val="green"/>
        </w:rPr>
        <w:t>z nezaplatenej sumy za každý deň omeškania.</w:t>
      </w:r>
    </w:p>
    <w:p w14:paraId="00E54DB5" w14:textId="1ADC5A16" w:rsidR="006D6917" w:rsidRPr="00D0660C"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D0660C">
        <w:rPr>
          <w:rFonts w:ascii="Arial" w:hAnsi="Arial" w:cs="Arial"/>
          <w:highlight w:val="green"/>
        </w:rPr>
        <w:t xml:space="preserve">Kupujúci si môže v prípade omeškania s dodaním Tovaru </w:t>
      </w:r>
      <w:r w:rsidR="003D5695" w:rsidRPr="00D0660C">
        <w:rPr>
          <w:rFonts w:ascii="Arial" w:hAnsi="Arial" w:cs="Arial"/>
          <w:highlight w:val="green"/>
        </w:rPr>
        <w:t xml:space="preserve">(vrátane omeškania s dodaním dokladov vzťahujúcich sa na Tovar) </w:t>
      </w:r>
      <w:r w:rsidRPr="00D0660C">
        <w:rPr>
          <w:rFonts w:ascii="Arial" w:hAnsi="Arial" w:cs="Arial"/>
          <w:highlight w:val="green"/>
        </w:rPr>
        <w:t xml:space="preserve">uplatniť u Predávajúceho zmluvnú pokutu vo výške </w:t>
      </w:r>
      <w:r w:rsidR="00376E57" w:rsidRPr="00D0660C">
        <w:rPr>
          <w:rFonts w:ascii="Arial" w:hAnsi="Arial" w:cs="Arial"/>
          <w:highlight w:val="green"/>
        </w:rPr>
        <w:t>0,8</w:t>
      </w:r>
      <w:r w:rsidRPr="00D0660C">
        <w:rPr>
          <w:rFonts w:ascii="Arial" w:hAnsi="Arial" w:cs="Arial"/>
          <w:highlight w:val="green"/>
        </w:rPr>
        <w:t xml:space="preserve"> % z Kúpnej ceny za každý </w:t>
      </w:r>
      <w:r w:rsidR="00141E0E" w:rsidRPr="00D0660C">
        <w:rPr>
          <w:rFonts w:ascii="Arial" w:hAnsi="Arial" w:cs="Arial"/>
          <w:highlight w:val="green"/>
        </w:rPr>
        <w:t xml:space="preserve">aj začatý </w:t>
      </w:r>
      <w:r w:rsidRPr="00D0660C">
        <w:rPr>
          <w:rFonts w:ascii="Arial" w:hAnsi="Arial" w:cs="Arial"/>
          <w:highlight w:val="green"/>
        </w:rPr>
        <w:t>deň omeškania aj formou vystavenia faktúry splatnej</w:t>
      </w:r>
      <w:r w:rsidR="00B33295" w:rsidRPr="00D0660C">
        <w:rPr>
          <w:rFonts w:ascii="Arial" w:hAnsi="Arial" w:cs="Arial"/>
          <w:highlight w:val="green"/>
        </w:rPr>
        <w:t xml:space="preserve"> do</w:t>
      </w:r>
      <w:r w:rsidRPr="00D0660C">
        <w:rPr>
          <w:rFonts w:ascii="Arial" w:hAnsi="Arial" w:cs="Arial"/>
          <w:highlight w:val="green"/>
        </w:rPr>
        <w:t xml:space="preserve"> </w:t>
      </w:r>
      <w:r w:rsidR="009B0F73" w:rsidRPr="00D0660C">
        <w:rPr>
          <w:rFonts w:ascii="Arial" w:hAnsi="Arial" w:cs="Arial"/>
          <w:highlight w:val="green"/>
        </w:rPr>
        <w:t>14</w:t>
      </w:r>
      <w:r w:rsidRPr="00D0660C">
        <w:rPr>
          <w:rFonts w:ascii="Arial" w:hAnsi="Arial" w:cs="Arial"/>
          <w:highlight w:val="green"/>
        </w:rPr>
        <w:t xml:space="preserve"> dní od jej doručenia </w:t>
      </w:r>
      <w:r w:rsidRPr="00D0660C">
        <w:rPr>
          <w:rFonts w:ascii="Arial" w:hAnsi="Arial" w:cs="Arial"/>
          <w:color w:val="000000"/>
          <w:highlight w:val="green"/>
        </w:rPr>
        <w:t>Predávajúcemu</w:t>
      </w:r>
      <w:r w:rsidRPr="00D0660C">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F719C4"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376E57" w:rsidRPr="00F719C4">
        <w:rPr>
          <w:rFonts w:ascii="Arial" w:hAnsi="Arial" w:cs="Arial"/>
          <w:highlight w:val="green"/>
        </w:rPr>
        <w:t>10.000,- EUR</w:t>
      </w:r>
      <w:r w:rsidRPr="00F719C4">
        <w:rPr>
          <w:rFonts w:ascii="Arial" w:hAnsi="Arial" w:cs="Arial"/>
          <w:highlight w:val="green"/>
        </w:rPr>
        <w:t xml:space="preserve"> za každý jednotlivý prípad porušenia osobitne aj formou vystavenia faktúry splatnej </w:t>
      </w:r>
      <w:r w:rsidR="00B33295" w:rsidRPr="00F719C4">
        <w:rPr>
          <w:rFonts w:ascii="Arial" w:hAnsi="Arial" w:cs="Arial"/>
          <w:highlight w:val="green"/>
        </w:rPr>
        <w:t xml:space="preserve">do </w:t>
      </w:r>
      <w:r w:rsidR="009B0F73" w:rsidRPr="00F719C4">
        <w:rPr>
          <w:rFonts w:ascii="Arial" w:hAnsi="Arial" w:cs="Arial"/>
          <w:highlight w:val="green"/>
        </w:rPr>
        <w:t>14</w:t>
      </w:r>
      <w:r w:rsidRPr="00F719C4">
        <w:rPr>
          <w:rFonts w:ascii="Arial" w:hAnsi="Arial" w:cs="Arial"/>
          <w:highlight w:val="green"/>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F719C4">
        <w:rPr>
          <w:rFonts w:ascii="Arial" w:hAnsi="Arial" w:cs="Arial"/>
          <w:color w:val="000000"/>
          <w:highlight w:val="green"/>
        </w:rPr>
        <w:t>Uplatnením</w:t>
      </w:r>
      <w:r w:rsidRPr="00F719C4">
        <w:rPr>
          <w:rFonts w:ascii="Arial" w:hAnsi="Arial" w:cs="Arial"/>
          <w:highlight w:val="green"/>
        </w:rPr>
        <w:t xml:space="preserve"> zmluvných pokút podľa tohto článku nie je dotknutý nárok Kupujúceho na náhradu škody</w:t>
      </w:r>
      <w:r w:rsidR="00141E0E" w:rsidRPr="00F719C4">
        <w:rPr>
          <w:rFonts w:ascii="Arial" w:hAnsi="Arial" w:cs="Arial"/>
          <w:highlight w:val="green"/>
        </w:rPr>
        <w:t>, ktorá mu vznikla z nesplnenia povinnosti zabezpečenej zmluvnou pokutou,</w:t>
      </w:r>
      <w:r w:rsidRPr="00F719C4">
        <w:rPr>
          <w:rFonts w:ascii="Arial" w:hAnsi="Arial" w:cs="Arial"/>
          <w:highlight w:val="green"/>
        </w:rPr>
        <w:t xml:space="preserve"> v plnej výške.</w:t>
      </w:r>
      <w:r w:rsidR="008378F8" w:rsidRPr="00F719C4">
        <w:rPr>
          <w:rFonts w:ascii="Arial" w:hAnsi="Arial" w:cs="Arial"/>
          <w:highlight w:val="green"/>
        </w:rPr>
        <w:t xml:space="preserve"> Uplatnením zmluvných pokút podľa tohto článku nie sú taktiež dotknuté nároky Kupujúceho z vád Tovaru</w:t>
      </w:r>
      <w:r w:rsidR="003D5695" w:rsidRPr="00F719C4">
        <w:rPr>
          <w:rFonts w:ascii="Arial" w:hAnsi="Arial" w:cs="Arial"/>
          <w:highlight w:val="green"/>
        </w:rPr>
        <w:t xml:space="preserve"> a ostatné práva Kupujúceho vyplývajúce zo Zmluvy</w:t>
      </w:r>
      <w:r w:rsidR="008378F8" w:rsidRPr="00F719C4">
        <w:rPr>
          <w:rFonts w:ascii="Arial" w:hAnsi="Arial" w:cs="Arial"/>
          <w:highlight w:val="green"/>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lastRenderedPageBreak/>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58BF815"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 xml:space="preserve">Predávajúci </w:t>
      </w:r>
      <w:r w:rsidR="00F719C4">
        <w:rPr>
          <w:rFonts w:ascii="Arial" w:hAnsi="Arial" w:cs="Arial"/>
          <w:highlight w:val="green"/>
        </w:rPr>
        <w:t>v celom rozsahu zodpovedá</w:t>
      </w:r>
      <w:r w:rsidRPr="00B15560">
        <w:rPr>
          <w:rFonts w:ascii="Arial" w:hAnsi="Arial" w:cs="Arial"/>
          <w:highlight w:val="green"/>
        </w:rPr>
        <w:t xml:space="preserve"> za</w:t>
      </w:r>
      <w:r w:rsidR="00F719C4">
        <w:rPr>
          <w:rFonts w:ascii="Arial" w:hAnsi="Arial" w:cs="Arial"/>
          <w:highlight w:val="green"/>
        </w:rPr>
        <w:t xml:space="preserve"> škodu vzniknutú v dôsledku porušenia svojich povinností vyplývajúcich mu zo Zmluvy alebo všeobecne záväzných právnych predpisov, najmä zodpovedá za</w:t>
      </w:r>
      <w:r w:rsidRPr="00B15560">
        <w:rPr>
          <w:rFonts w:ascii="Arial" w:hAnsi="Arial" w:cs="Arial"/>
          <w:highlight w:val="green"/>
        </w:rPr>
        <w:t xml:space="preserve"> náhodné, následné, osobité, represívne, zákonné alebo nepriame škody, vrátane straty ziskov, výnosov alebo využitia, resp. straty alebo poškodenia údajov</w:t>
      </w:r>
      <w:r w:rsidR="00F719C4">
        <w:rPr>
          <w:rFonts w:ascii="Arial" w:hAnsi="Arial" w:cs="Arial"/>
          <w:highlight w:val="green"/>
        </w:rPr>
        <w:t>, a túto sa zaväzuje Kupujúcemu v celom rozsahu nahradiť.</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w:t>
      </w:r>
      <w:r w:rsidRPr="00334C77">
        <w:rPr>
          <w:rFonts w:ascii="Arial" w:hAnsi="Arial" w:cs="Arial"/>
        </w:rPr>
        <w:lastRenderedPageBreak/>
        <w:t>schválením príslušným orgánom. Odhliadnuc od uvedeného sú zmluvné strany svojimi prejavmi viazané momentom podpisu Zmluvy.</w:t>
      </w:r>
    </w:p>
    <w:p w14:paraId="00E54DF5" w14:textId="453DBB28"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na 48</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lastRenderedPageBreak/>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lastRenderedPageBreak/>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423D5D3A"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61019" w14:textId="77777777" w:rsidR="009619BA" w:rsidRDefault="009619BA">
      <w:r>
        <w:separator/>
      </w:r>
    </w:p>
  </w:endnote>
  <w:endnote w:type="continuationSeparator" w:id="0">
    <w:p w14:paraId="1BE2B821" w14:textId="77777777" w:rsidR="009619BA" w:rsidRDefault="0096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B7450A" w:rsidRDefault="00B7450A">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696924B3" w:rsidR="00B7450A" w:rsidRPr="00E73EA4" w:rsidRDefault="00B7450A"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F35F88">
      <w:rPr>
        <w:rStyle w:val="slostrany"/>
        <w:noProof/>
        <w:sz w:val="18"/>
        <w:szCs w:val="18"/>
      </w:rPr>
      <w:t>12</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F35F88">
      <w:rPr>
        <w:rStyle w:val="slostrany"/>
        <w:noProof/>
        <w:sz w:val="18"/>
        <w:szCs w:val="18"/>
      </w:rPr>
      <w:t>12</w:t>
    </w:r>
    <w:r w:rsidRPr="00E73EA4">
      <w:rPr>
        <w:rStyle w:val="slostra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B7450A" w:rsidRDefault="00B7450A">
    <w:pPr>
      <w:pStyle w:val="Pta"/>
    </w:pPr>
  </w:p>
  <w:p w14:paraId="4556AB5F" w14:textId="77777777" w:rsidR="00B7450A" w:rsidRDefault="00B745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6D9BE" w14:textId="77777777" w:rsidR="009619BA" w:rsidRDefault="009619BA">
      <w:r>
        <w:separator/>
      </w:r>
    </w:p>
  </w:footnote>
  <w:footnote w:type="continuationSeparator" w:id="0">
    <w:p w14:paraId="4E6D6AAD" w14:textId="77777777" w:rsidR="009619BA" w:rsidRDefault="00961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B7450A" w:rsidRDefault="00B7450A">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296D"/>
    <w:rsid w:val="00197721"/>
    <w:rsid w:val="001A53F9"/>
    <w:rsid w:val="001B0B91"/>
    <w:rsid w:val="001C1F8B"/>
    <w:rsid w:val="001D6E2D"/>
    <w:rsid w:val="001D7FEF"/>
    <w:rsid w:val="001E2954"/>
    <w:rsid w:val="001E33E2"/>
    <w:rsid w:val="001E6022"/>
    <w:rsid w:val="001E6E32"/>
    <w:rsid w:val="001F0E1A"/>
    <w:rsid w:val="0020219D"/>
    <w:rsid w:val="002256AA"/>
    <w:rsid w:val="00236DC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E6C89"/>
    <w:rsid w:val="002F34C0"/>
    <w:rsid w:val="002F3848"/>
    <w:rsid w:val="002F3DCC"/>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8AE"/>
    <w:rsid w:val="00384A03"/>
    <w:rsid w:val="0038528C"/>
    <w:rsid w:val="00385D74"/>
    <w:rsid w:val="003949FA"/>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66E6F"/>
    <w:rsid w:val="0047119C"/>
    <w:rsid w:val="00471378"/>
    <w:rsid w:val="00473717"/>
    <w:rsid w:val="00474D8A"/>
    <w:rsid w:val="004817C0"/>
    <w:rsid w:val="00481DBC"/>
    <w:rsid w:val="0048715B"/>
    <w:rsid w:val="004A05F2"/>
    <w:rsid w:val="004A1036"/>
    <w:rsid w:val="004A1963"/>
    <w:rsid w:val="004B36D7"/>
    <w:rsid w:val="004B6CC0"/>
    <w:rsid w:val="004D5A0C"/>
    <w:rsid w:val="004D624D"/>
    <w:rsid w:val="004E368F"/>
    <w:rsid w:val="004F119E"/>
    <w:rsid w:val="004F6C61"/>
    <w:rsid w:val="004F71A6"/>
    <w:rsid w:val="004F782B"/>
    <w:rsid w:val="004F7F21"/>
    <w:rsid w:val="0050404C"/>
    <w:rsid w:val="00506F73"/>
    <w:rsid w:val="005111F6"/>
    <w:rsid w:val="00511A89"/>
    <w:rsid w:val="00532A09"/>
    <w:rsid w:val="005422EC"/>
    <w:rsid w:val="0054392B"/>
    <w:rsid w:val="0054570F"/>
    <w:rsid w:val="0054687B"/>
    <w:rsid w:val="005553E9"/>
    <w:rsid w:val="005559E6"/>
    <w:rsid w:val="00560B0D"/>
    <w:rsid w:val="0057710A"/>
    <w:rsid w:val="005812B3"/>
    <w:rsid w:val="00590DCA"/>
    <w:rsid w:val="00595A46"/>
    <w:rsid w:val="005A0E60"/>
    <w:rsid w:val="005A649A"/>
    <w:rsid w:val="005B0BD5"/>
    <w:rsid w:val="005C16CD"/>
    <w:rsid w:val="005C22F7"/>
    <w:rsid w:val="005C3E65"/>
    <w:rsid w:val="005C4748"/>
    <w:rsid w:val="005C4878"/>
    <w:rsid w:val="005C5C78"/>
    <w:rsid w:val="005E2D06"/>
    <w:rsid w:val="005E3CCD"/>
    <w:rsid w:val="005F2ADC"/>
    <w:rsid w:val="00601AA9"/>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6290D"/>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7F4012"/>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7D8B"/>
    <w:rsid w:val="0092079F"/>
    <w:rsid w:val="00932733"/>
    <w:rsid w:val="009343E6"/>
    <w:rsid w:val="00942F31"/>
    <w:rsid w:val="009450BE"/>
    <w:rsid w:val="009509FB"/>
    <w:rsid w:val="00954989"/>
    <w:rsid w:val="009570C6"/>
    <w:rsid w:val="009619BA"/>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4146"/>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B01475"/>
    <w:rsid w:val="00B02907"/>
    <w:rsid w:val="00B07C06"/>
    <w:rsid w:val="00B13159"/>
    <w:rsid w:val="00B15560"/>
    <w:rsid w:val="00B22E11"/>
    <w:rsid w:val="00B25032"/>
    <w:rsid w:val="00B2756A"/>
    <w:rsid w:val="00B30D09"/>
    <w:rsid w:val="00B322EB"/>
    <w:rsid w:val="00B329DF"/>
    <w:rsid w:val="00B33295"/>
    <w:rsid w:val="00B3604D"/>
    <w:rsid w:val="00B418DB"/>
    <w:rsid w:val="00B56A85"/>
    <w:rsid w:val="00B62E51"/>
    <w:rsid w:val="00B7006D"/>
    <w:rsid w:val="00B72227"/>
    <w:rsid w:val="00B7450A"/>
    <w:rsid w:val="00B95AD1"/>
    <w:rsid w:val="00B97113"/>
    <w:rsid w:val="00BB1A86"/>
    <w:rsid w:val="00BE72C9"/>
    <w:rsid w:val="00BF5103"/>
    <w:rsid w:val="00BF5D47"/>
    <w:rsid w:val="00BF680B"/>
    <w:rsid w:val="00C103FD"/>
    <w:rsid w:val="00C1115C"/>
    <w:rsid w:val="00C13137"/>
    <w:rsid w:val="00C14120"/>
    <w:rsid w:val="00C31E1D"/>
    <w:rsid w:val="00C32B03"/>
    <w:rsid w:val="00C35166"/>
    <w:rsid w:val="00C35FD0"/>
    <w:rsid w:val="00C441F2"/>
    <w:rsid w:val="00C61121"/>
    <w:rsid w:val="00C645FF"/>
    <w:rsid w:val="00C67A48"/>
    <w:rsid w:val="00C72F5D"/>
    <w:rsid w:val="00C75ECB"/>
    <w:rsid w:val="00C968BE"/>
    <w:rsid w:val="00CA6281"/>
    <w:rsid w:val="00CA6D58"/>
    <w:rsid w:val="00CA7EDB"/>
    <w:rsid w:val="00CB112B"/>
    <w:rsid w:val="00CB6C78"/>
    <w:rsid w:val="00CC102C"/>
    <w:rsid w:val="00CC1FFB"/>
    <w:rsid w:val="00CC36FB"/>
    <w:rsid w:val="00CD46BB"/>
    <w:rsid w:val="00CE50AD"/>
    <w:rsid w:val="00D023B9"/>
    <w:rsid w:val="00D0643A"/>
    <w:rsid w:val="00D0660C"/>
    <w:rsid w:val="00D07B87"/>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B7965"/>
    <w:rsid w:val="00DC202A"/>
    <w:rsid w:val="00DC744A"/>
    <w:rsid w:val="00DC7ABA"/>
    <w:rsid w:val="00DD116D"/>
    <w:rsid w:val="00DF010E"/>
    <w:rsid w:val="00DF35A4"/>
    <w:rsid w:val="00DF3B52"/>
    <w:rsid w:val="00DF5A0B"/>
    <w:rsid w:val="00E02A34"/>
    <w:rsid w:val="00E07689"/>
    <w:rsid w:val="00E1739D"/>
    <w:rsid w:val="00E20B70"/>
    <w:rsid w:val="00E24654"/>
    <w:rsid w:val="00E26541"/>
    <w:rsid w:val="00E3462F"/>
    <w:rsid w:val="00E36868"/>
    <w:rsid w:val="00E3770F"/>
    <w:rsid w:val="00E46970"/>
    <w:rsid w:val="00E46C2E"/>
    <w:rsid w:val="00E53F03"/>
    <w:rsid w:val="00E72FDD"/>
    <w:rsid w:val="00E751ED"/>
    <w:rsid w:val="00E756A2"/>
    <w:rsid w:val="00E77AE9"/>
    <w:rsid w:val="00E83B99"/>
    <w:rsid w:val="00E8742B"/>
    <w:rsid w:val="00EA1DB1"/>
    <w:rsid w:val="00EB0C53"/>
    <w:rsid w:val="00EB5290"/>
    <w:rsid w:val="00EB7B94"/>
    <w:rsid w:val="00EC5BE4"/>
    <w:rsid w:val="00ED62F4"/>
    <w:rsid w:val="00ED67AC"/>
    <w:rsid w:val="00EE54DF"/>
    <w:rsid w:val="00EF5402"/>
    <w:rsid w:val="00F002CA"/>
    <w:rsid w:val="00F03E22"/>
    <w:rsid w:val="00F04C4E"/>
    <w:rsid w:val="00F063F8"/>
    <w:rsid w:val="00F074E5"/>
    <w:rsid w:val="00F17408"/>
    <w:rsid w:val="00F17E5D"/>
    <w:rsid w:val="00F211C9"/>
    <w:rsid w:val="00F21E9C"/>
    <w:rsid w:val="00F27562"/>
    <w:rsid w:val="00F27F02"/>
    <w:rsid w:val="00F35F88"/>
    <w:rsid w:val="00F44CBB"/>
    <w:rsid w:val="00F45817"/>
    <w:rsid w:val="00F46E77"/>
    <w:rsid w:val="00F56C2A"/>
    <w:rsid w:val="00F6446C"/>
    <w:rsid w:val="00F64F12"/>
    <w:rsid w:val="00F67493"/>
    <w:rsid w:val="00F719C4"/>
    <w:rsid w:val="00F72CE2"/>
    <w:rsid w:val="00F749FC"/>
    <w:rsid w:val="00F85A1E"/>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15:docId w15:val="{11B30914-85CA-453D-9F4C-8EFF190E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m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2.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DAF7E-D248-4CB6-AD02-F168D0760B86}">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4.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5.xml><?xml version="1.0" encoding="utf-8"?>
<ds:datastoreItem xmlns:ds="http://schemas.openxmlformats.org/officeDocument/2006/customXml" ds:itemID="{2F48583E-B1DA-486C-B860-699AFCA9A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5648</Words>
  <Characters>32200</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Prochásková Jana</cp:lastModifiedBy>
  <cp:revision>10</cp:revision>
  <cp:lastPrinted>2018-03-01T12:42:00Z</cp:lastPrinted>
  <dcterms:created xsi:type="dcterms:W3CDTF">2021-06-23T08:54:00Z</dcterms:created>
  <dcterms:modified xsi:type="dcterms:W3CDTF">2021-07-01T09:34:00Z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