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182C8" w14:textId="5E387BF1" w:rsidR="005038B7" w:rsidRPr="005038B7" w:rsidRDefault="005038B7" w:rsidP="005038B7">
      <w:pPr>
        <w:pStyle w:val="Nadpis2"/>
        <w:jc w:val="center"/>
        <w:rPr>
          <w:sz w:val="28"/>
          <w:szCs w:val="28"/>
        </w:rPr>
      </w:pPr>
      <w:r w:rsidRPr="005038B7">
        <w:rPr>
          <w:sz w:val="28"/>
          <w:szCs w:val="28"/>
        </w:rPr>
        <w:t xml:space="preserve">Príloha č. </w:t>
      </w:r>
      <w:r w:rsidR="00AD1C2B">
        <w:rPr>
          <w:sz w:val="28"/>
          <w:szCs w:val="28"/>
        </w:rPr>
        <w:t>9</w:t>
      </w:r>
      <w:r w:rsidRPr="005038B7">
        <w:rPr>
          <w:sz w:val="28"/>
          <w:szCs w:val="28"/>
        </w:rPr>
        <w:t xml:space="preserve"> – Štandard náterov trakčných stožiarov</w:t>
      </w:r>
    </w:p>
    <w:p w14:paraId="3AF6858D" w14:textId="1E6E561B" w:rsidR="005038B7" w:rsidRDefault="005038B7" w:rsidP="005038B7">
      <w:pPr>
        <w:ind w:left="720" w:hanging="360"/>
        <w:jc w:val="both"/>
      </w:pPr>
    </w:p>
    <w:p w14:paraId="09EA0229" w14:textId="77777777" w:rsidR="005038B7" w:rsidRDefault="005038B7" w:rsidP="005038B7">
      <w:pPr>
        <w:ind w:left="720" w:hanging="360"/>
        <w:jc w:val="both"/>
      </w:pPr>
    </w:p>
    <w:p w14:paraId="4124D212" w14:textId="59D921A0" w:rsidR="00911A85" w:rsidRDefault="00911A85" w:rsidP="00523977">
      <w:pPr>
        <w:jc w:val="both"/>
        <w:rPr>
          <w:rFonts w:ascii="Times New Roman" w:eastAsia="Times New Roman" w:hAnsi="Times New Roman" w:cs="Times New Roman"/>
          <w:sz w:val="24"/>
          <w:szCs w:val="24"/>
        </w:rPr>
      </w:pPr>
      <w:r w:rsidRPr="00523977">
        <w:rPr>
          <w:rFonts w:ascii="Times New Roman" w:eastAsia="Times New Roman" w:hAnsi="Times New Roman" w:cs="Times New Roman"/>
          <w:sz w:val="24"/>
          <w:szCs w:val="24"/>
        </w:rPr>
        <w:t>Chronologicky vypísaný postup je nasledovný:</w:t>
      </w:r>
    </w:p>
    <w:p w14:paraId="79EBECFC" w14:textId="77777777" w:rsidR="00523977" w:rsidRPr="00523977" w:rsidRDefault="00523977" w:rsidP="00523977">
      <w:pPr>
        <w:jc w:val="both"/>
        <w:rPr>
          <w:rFonts w:ascii="Times New Roman" w:eastAsia="Times New Roman" w:hAnsi="Times New Roman" w:cs="Times New Roman"/>
          <w:sz w:val="24"/>
          <w:szCs w:val="24"/>
        </w:rPr>
      </w:pPr>
    </w:p>
    <w:p w14:paraId="3C9BC332" w14:textId="77777777" w:rsidR="00911A85" w:rsidRPr="00523977" w:rsidRDefault="00911A85" w:rsidP="000E57B9">
      <w:pPr>
        <w:pStyle w:val="Odsekzoznamu"/>
        <w:numPr>
          <w:ilvl w:val="1"/>
          <w:numId w:val="5"/>
        </w:numPr>
        <w:spacing w:after="160"/>
        <w:ind w:left="851" w:hanging="284"/>
        <w:jc w:val="both"/>
        <w:rPr>
          <w:rFonts w:ascii="Times New Roman" w:eastAsia="Times New Roman" w:hAnsi="Times New Roman" w:cs="Times New Roman"/>
          <w:sz w:val="24"/>
          <w:szCs w:val="24"/>
        </w:rPr>
      </w:pPr>
      <w:r w:rsidRPr="00523977">
        <w:rPr>
          <w:rFonts w:ascii="Times New Roman" w:eastAsia="Times New Roman" w:hAnsi="Times New Roman" w:cs="Times New Roman"/>
          <w:sz w:val="24"/>
          <w:szCs w:val="24"/>
        </w:rPr>
        <w:t xml:space="preserve">osadenie dopravného značenia 2 – 3 metre pred stožiar, ktorý je určený na náter ak sú na ňom umiestnené dopravné značky a následne zdemontovanie týchto značiek z predmetného stožiara. Činnosť koordinovať so správcom PTZ DPB, </w:t>
      </w:r>
      <w:proofErr w:type="spellStart"/>
      <w:r w:rsidRPr="00523977">
        <w:rPr>
          <w:rFonts w:ascii="Times New Roman" w:eastAsia="Times New Roman" w:hAnsi="Times New Roman" w:cs="Times New Roman"/>
          <w:sz w:val="24"/>
          <w:szCs w:val="24"/>
        </w:rPr>
        <w:t>a.s</w:t>
      </w:r>
      <w:proofErr w:type="spellEnd"/>
      <w:r w:rsidRPr="00523977">
        <w:rPr>
          <w:rFonts w:ascii="Times New Roman" w:eastAsia="Times New Roman" w:hAnsi="Times New Roman" w:cs="Times New Roman"/>
          <w:sz w:val="24"/>
          <w:szCs w:val="24"/>
        </w:rPr>
        <w:t>..</w:t>
      </w:r>
    </w:p>
    <w:p w14:paraId="3E9C3A05" w14:textId="77777777" w:rsidR="00911A85" w:rsidRPr="00523977" w:rsidRDefault="00911A85" w:rsidP="000E57B9">
      <w:pPr>
        <w:pStyle w:val="Odsekzoznamu"/>
        <w:numPr>
          <w:ilvl w:val="1"/>
          <w:numId w:val="5"/>
        </w:numPr>
        <w:spacing w:after="160"/>
        <w:ind w:left="851" w:hanging="284"/>
        <w:jc w:val="both"/>
        <w:rPr>
          <w:rFonts w:ascii="Times New Roman" w:eastAsia="Times New Roman" w:hAnsi="Times New Roman" w:cs="Times New Roman"/>
          <w:sz w:val="24"/>
          <w:szCs w:val="24"/>
        </w:rPr>
      </w:pPr>
      <w:r w:rsidRPr="00523977">
        <w:rPr>
          <w:rFonts w:ascii="Times New Roman" w:eastAsia="Times New Roman" w:hAnsi="Times New Roman" w:cs="Times New Roman"/>
          <w:sz w:val="24"/>
          <w:szCs w:val="24"/>
        </w:rPr>
        <w:t xml:space="preserve">Pokiaľ sú na stožiari osadené len reklamné tabule, smetné koše či iné zariadenia a tieto neboli zdemontované ich prevádzkovateľom, tak tieto postačuje len zdemontovať a následne odovzdať DPB na uskladnenie. Činnosť koordinovať so správcom PTZ DPB, </w:t>
      </w:r>
      <w:proofErr w:type="spellStart"/>
      <w:r w:rsidRPr="00523977">
        <w:rPr>
          <w:rFonts w:ascii="Times New Roman" w:eastAsia="Times New Roman" w:hAnsi="Times New Roman" w:cs="Times New Roman"/>
          <w:sz w:val="24"/>
          <w:szCs w:val="24"/>
        </w:rPr>
        <w:t>a.s</w:t>
      </w:r>
      <w:proofErr w:type="spellEnd"/>
      <w:r w:rsidRPr="00523977">
        <w:rPr>
          <w:rFonts w:ascii="Times New Roman" w:eastAsia="Times New Roman" w:hAnsi="Times New Roman" w:cs="Times New Roman"/>
          <w:sz w:val="24"/>
          <w:szCs w:val="24"/>
        </w:rPr>
        <w:t>..</w:t>
      </w:r>
    </w:p>
    <w:p w14:paraId="0A6A9807" w14:textId="77777777" w:rsidR="00911A85" w:rsidRPr="00523977" w:rsidRDefault="00911A85" w:rsidP="000E57B9">
      <w:pPr>
        <w:pStyle w:val="Odsekzoznamu"/>
        <w:numPr>
          <w:ilvl w:val="1"/>
          <w:numId w:val="5"/>
        </w:numPr>
        <w:spacing w:after="160"/>
        <w:ind w:left="851" w:hanging="284"/>
        <w:jc w:val="both"/>
        <w:rPr>
          <w:rFonts w:ascii="Times New Roman" w:eastAsia="Times New Roman" w:hAnsi="Times New Roman" w:cs="Times New Roman"/>
          <w:sz w:val="24"/>
          <w:szCs w:val="24"/>
        </w:rPr>
      </w:pPr>
      <w:r w:rsidRPr="00523977">
        <w:rPr>
          <w:rFonts w:ascii="Times New Roman" w:eastAsia="Times New Roman" w:hAnsi="Times New Roman" w:cs="Times New Roman"/>
          <w:sz w:val="24"/>
          <w:szCs w:val="24"/>
        </w:rPr>
        <w:t>Pokiaľ sa jedná o kombinovaný trakčný stožiar, ktorý má v spodnej časti osadený liatinový kryt drieku stožiara, je nutné v rámci prípravy stožiaru demontovať aj tieto kryty.</w:t>
      </w:r>
    </w:p>
    <w:p w14:paraId="3656FF96" w14:textId="77777777" w:rsidR="00911A85" w:rsidRPr="00523977" w:rsidRDefault="00911A85" w:rsidP="000E57B9">
      <w:pPr>
        <w:pStyle w:val="Odsekzoznamu"/>
        <w:numPr>
          <w:ilvl w:val="1"/>
          <w:numId w:val="5"/>
        </w:numPr>
        <w:spacing w:after="160"/>
        <w:ind w:left="851" w:hanging="284"/>
        <w:jc w:val="both"/>
        <w:rPr>
          <w:rFonts w:ascii="Times New Roman" w:eastAsia="Times New Roman" w:hAnsi="Times New Roman" w:cs="Times New Roman"/>
          <w:sz w:val="24"/>
          <w:szCs w:val="24"/>
        </w:rPr>
      </w:pPr>
      <w:r w:rsidRPr="00523977">
        <w:rPr>
          <w:rFonts w:ascii="Times New Roman" w:eastAsia="Times New Roman" w:hAnsi="Times New Roman" w:cs="Times New Roman"/>
          <w:sz w:val="24"/>
          <w:szCs w:val="24"/>
        </w:rPr>
        <w:t>Zo stožiara následne odstrániť všetky nálepky, plagáty a taktiež všetky zvyšky zariadení, ktoré už evidentne neslúžia svojmu pôvodnému účelu. Pokiaľ sú tieto nefunkčné časti ku stožiaru privarené, tak ich požadujeme odrezať a miesto zvaru zabrúsiť.</w:t>
      </w:r>
    </w:p>
    <w:p w14:paraId="4297FC6D" w14:textId="77777777" w:rsidR="00911A85" w:rsidRPr="00523977" w:rsidRDefault="00911A85" w:rsidP="000E57B9">
      <w:pPr>
        <w:pStyle w:val="Odsekzoznamu"/>
        <w:numPr>
          <w:ilvl w:val="1"/>
          <w:numId w:val="5"/>
        </w:numPr>
        <w:spacing w:after="160"/>
        <w:ind w:left="851" w:hanging="284"/>
        <w:jc w:val="both"/>
        <w:rPr>
          <w:rFonts w:ascii="Times New Roman" w:eastAsia="Times New Roman" w:hAnsi="Times New Roman" w:cs="Times New Roman"/>
          <w:sz w:val="24"/>
          <w:szCs w:val="24"/>
        </w:rPr>
      </w:pPr>
      <w:r w:rsidRPr="00523977">
        <w:rPr>
          <w:rFonts w:ascii="Times New Roman" w:eastAsia="Times New Roman" w:hAnsi="Times New Roman" w:cs="Times New Roman"/>
          <w:sz w:val="24"/>
          <w:szCs w:val="24"/>
        </w:rPr>
        <w:t xml:space="preserve">Upozorňujeme, že zo stožiarov sa nebudú demontovať žiadne súčasti uchytenia trolejového vedenia ani ďalšie zariadenia dráhy, ktoré sú jej súčasťou ako sú napr. výzbroj napájacích bodov a úsekových deličov, rozvádzače vykurovania  alebo ovládania výhybiek, rozvádzače mazania koľajových oblúkov, či iné rozvádzače a zariadenia slúžiace dráhe. Špecifikácia týchto zariadení bude presne určená správcom PTZ DPB, </w:t>
      </w:r>
      <w:proofErr w:type="spellStart"/>
      <w:r w:rsidRPr="00523977">
        <w:rPr>
          <w:rFonts w:ascii="Times New Roman" w:eastAsia="Times New Roman" w:hAnsi="Times New Roman" w:cs="Times New Roman"/>
          <w:sz w:val="24"/>
          <w:szCs w:val="24"/>
        </w:rPr>
        <w:t>a.s</w:t>
      </w:r>
      <w:proofErr w:type="spellEnd"/>
      <w:r w:rsidRPr="00523977">
        <w:rPr>
          <w:rFonts w:ascii="Times New Roman" w:eastAsia="Times New Roman" w:hAnsi="Times New Roman" w:cs="Times New Roman"/>
          <w:sz w:val="24"/>
          <w:szCs w:val="24"/>
        </w:rPr>
        <w:t>..</w:t>
      </w:r>
    </w:p>
    <w:p w14:paraId="5BBBC0C1" w14:textId="6D0A4BFA" w:rsidR="00911A85" w:rsidRPr="00523977" w:rsidRDefault="00911A85" w:rsidP="000E57B9">
      <w:pPr>
        <w:pStyle w:val="Odsekzoznamu"/>
        <w:numPr>
          <w:ilvl w:val="1"/>
          <w:numId w:val="5"/>
        </w:numPr>
        <w:spacing w:after="160"/>
        <w:ind w:left="851" w:hanging="284"/>
        <w:jc w:val="both"/>
        <w:rPr>
          <w:rFonts w:ascii="Times New Roman" w:eastAsia="Times New Roman" w:hAnsi="Times New Roman" w:cs="Times New Roman"/>
          <w:sz w:val="24"/>
          <w:szCs w:val="24"/>
          <w:lang w:eastAsia="sk-SK"/>
        </w:rPr>
      </w:pPr>
      <w:r w:rsidRPr="00523977">
        <w:rPr>
          <w:rFonts w:ascii="Times New Roman" w:eastAsia="Times New Roman" w:hAnsi="Times New Roman" w:cs="Times New Roman"/>
          <w:sz w:val="24"/>
          <w:szCs w:val="24"/>
        </w:rPr>
        <w:t>Stožiar pred samotným náterom kompletne očistiť a odmastiť. Z každého stožiara sa čistí brúsením alebo pieskovaním (abrazívne čistenie), prípadne inou vhodnou metódou jeho spodná časť až do výšky prvej redukcie priemeru vrátane tejto redukcie. Pokiaľ správca vyhodnotí, že stožiar je veľmi skorodovaný aj vo zvyšnej časti, t.</w:t>
      </w:r>
      <w:r w:rsidR="00CF4DD9" w:rsidRPr="00523977">
        <w:rPr>
          <w:rFonts w:ascii="Times New Roman" w:eastAsia="Times New Roman" w:hAnsi="Times New Roman" w:cs="Times New Roman"/>
          <w:sz w:val="24"/>
          <w:szCs w:val="24"/>
        </w:rPr>
        <w:t xml:space="preserve"> </w:t>
      </w:r>
      <w:r w:rsidRPr="00523977">
        <w:rPr>
          <w:rFonts w:ascii="Times New Roman" w:eastAsia="Times New Roman" w:hAnsi="Times New Roman" w:cs="Times New Roman"/>
          <w:sz w:val="24"/>
          <w:szCs w:val="24"/>
        </w:rPr>
        <w:t xml:space="preserve">j. nad prvou redukciou vydá pokyn na očistenie (opieskovanie či obrúsenie) celého stožiaru. Stupeň očistenia: </w:t>
      </w:r>
      <w:r w:rsidRPr="00523977">
        <w:rPr>
          <w:rFonts w:ascii="Times New Roman" w:eastAsia="Times New Roman" w:hAnsi="Times New Roman" w:cs="Times New Roman"/>
          <w:sz w:val="24"/>
          <w:szCs w:val="24"/>
          <w:lang w:eastAsia="sk-SK"/>
        </w:rPr>
        <w:t xml:space="preserve">Sa 2½ / </w:t>
      </w:r>
      <w:proofErr w:type="spellStart"/>
      <w:r w:rsidRPr="00523977">
        <w:rPr>
          <w:rFonts w:ascii="Times New Roman" w:eastAsia="Times New Roman" w:hAnsi="Times New Roman" w:cs="Times New Roman"/>
          <w:sz w:val="24"/>
          <w:szCs w:val="24"/>
          <w:lang w:eastAsia="sk-SK"/>
        </w:rPr>
        <w:t>Be</w:t>
      </w:r>
      <w:proofErr w:type="spellEnd"/>
      <w:r w:rsidRPr="00523977">
        <w:rPr>
          <w:rFonts w:ascii="Times New Roman" w:eastAsia="Times New Roman" w:hAnsi="Times New Roman" w:cs="Times New Roman"/>
          <w:sz w:val="24"/>
          <w:szCs w:val="24"/>
          <w:lang w:eastAsia="sk-SK"/>
        </w:rPr>
        <w:t xml:space="preserve"> </w:t>
      </w:r>
      <w:proofErr w:type="spellStart"/>
      <w:r w:rsidRPr="00523977">
        <w:rPr>
          <w:rFonts w:ascii="Times New Roman" w:eastAsia="Times New Roman" w:hAnsi="Times New Roman" w:cs="Times New Roman"/>
          <w:sz w:val="24"/>
          <w:szCs w:val="24"/>
          <w:lang w:eastAsia="sk-SK"/>
        </w:rPr>
        <w:t>sweeping</w:t>
      </w:r>
      <w:proofErr w:type="spellEnd"/>
      <w:r w:rsidR="00EB005B">
        <w:rPr>
          <w:rFonts w:ascii="Times New Roman" w:eastAsia="Times New Roman" w:hAnsi="Times New Roman" w:cs="Times New Roman"/>
          <w:sz w:val="24"/>
          <w:szCs w:val="24"/>
          <w:lang w:eastAsia="sk-SK"/>
        </w:rPr>
        <w:t>.</w:t>
      </w:r>
    </w:p>
    <w:p w14:paraId="4CDEA02D" w14:textId="77777777" w:rsidR="00911A85" w:rsidRPr="00523977" w:rsidRDefault="00911A85" w:rsidP="000E57B9">
      <w:pPr>
        <w:pStyle w:val="Odsekzoznamu"/>
        <w:numPr>
          <w:ilvl w:val="1"/>
          <w:numId w:val="5"/>
        </w:numPr>
        <w:spacing w:after="160"/>
        <w:ind w:left="851" w:hanging="284"/>
        <w:jc w:val="both"/>
        <w:rPr>
          <w:rFonts w:ascii="Times New Roman" w:eastAsia="Times New Roman" w:hAnsi="Times New Roman" w:cs="Times New Roman"/>
          <w:sz w:val="24"/>
          <w:szCs w:val="24"/>
        </w:rPr>
      </w:pPr>
      <w:r w:rsidRPr="00523977">
        <w:rPr>
          <w:rFonts w:ascii="Times New Roman" w:eastAsia="Times New Roman" w:hAnsi="Times New Roman" w:cs="Times New Roman"/>
          <w:sz w:val="24"/>
          <w:szCs w:val="24"/>
        </w:rPr>
        <w:t>Pokiaľ ide o kombinovaný trakčný stožiar s liatinovým krytom, tak predmetom očistenia je samozrejme aj tento kryt a to z oboch strán. Taktiež je predmetom očistenia aj výložník verejného osvetlenia.</w:t>
      </w:r>
    </w:p>
    <w:p w14:paraId="13B3C60D" w14:textId="77777777" w:rsidR="00911A85" w:rsidRPr="00523977" w:rsidRDefault="00911A85" w:rsidP="000E57B9">
      <w:pPr>
        <w:pStyle w:val="Odsekzoznamu"/>
        <w:numPr>
          <w:ilvl w:val="1"/>
          <w:numId w:val="5"/>
        </w:numPr>
        <w:spacing w:after="160"/>
        <w:ind w:left="851" w:hanging="284"/>
        <w:jc w:val="both"/>
        <w:rPr>
          <w:rFonts w:ascii="Times New Roman" w:eastAsia="Times New Roman" w:hAnsi="Times New Roman" w:cs="Times New Roman"/>
          <w:sz w:val="24"/>
          <w:szCs w:val="24"/>
        </w:rPr>
      </w:pPr>
      <w:r w:rsidRPr="00523977">
        <w:rPr>
          <w:rFonts w:ascii="Times New Roman" w:eastAsia="Times New Roman" w:hAnsi="Times New Roman" w:cs="Times New Roman"/>
          <w:sz w:val="24"/>
          <w:szCs w:val="24"/>
        </w:rPr>
        <w:t>Pokiaľ je na trakčnom stožiari alebo kombinovanom trakčnom stožiari osadená oceľová konštrukcia, ktorá nesie napr. výzbroj napájacieho bodu alebo výzbroj úsekového deliča, prípadne je na stožiari osadený oceľový výložník nesúci trolejové vedenie sú predmetom čistenia aj tieto oceľové konštrukcie a výložník.</w:t>
      </w:r>
    </w:p>
    <w:p w14:paraId="6DB598E5" w14:textId="5E0FBC8C" w:rsidR="00131CED" w:rsidRPr="000E57B9" w:rsidRDefault="00911A85" w:rsidP="000E57B9">
      <w:pPr>
        <w:pStyle w:val="Odsekzoznamu"/>
        <w:numPr>
          <w:ilvl w:val="1"/>
          <w:numId w:val="5"/>
        </w:numPr>
        <w:spacing w:after="160"/>
        <w:ind w:left="851" w:hanging="284"/>
        <w:jc w:val="both"/>
        <w:rPr>
          <w:rFonts w:ascii="Times New Roman" w:eastAsia="Times New Roman" w:hAnsi="Times New Roman" w:cs="Times New Roman"/>
          <w:sz w:val="24"/>
          <w:szCs w:val="24"/>
        </w:rPr>
      </w:pPr>
      <w:r w:rsidRPr="00523977">
        <w:rPr>
          <w:rFonts w:ascii="Times New Roman" w:eastAsia="Times New Roman" w:hAnsi="Times New Roman" w:cs="Times New Roman"/>
          <w:sz w:val="24"/>
          <w:szCs w:val="24"/>
        </w:rPr>
        <w:t>Po očistení je možné pristúpiť ku realizácii jednotlivých vrstiev náteru nasledovne:</w:t>
      </w:r>
    </w:p>
    <w:p w14:paraId="36F12D5C" w14:textId="3F119D26" w:rsidR="00131CED" w:rsidRPr="00523977" w:rsidRDefault="00131CED" w:rsidP="000E57B9">
      <w:pPr>
        <w:pStyle w:val="Odsekzoznamu"/>
        <w:numPr>
          <w:ilvl w:val="2"/>
          <w:numId w:val="8"/>
        </w:numPr>
        <w:spacing w:after="160"/>
        <w:ind w:left="1276" w:hanging="283"/>
        <w:jc w:val="both"/>
        <w:rPr>
          <w:rFonts w:ascii="Times New Roman" w:hAnsi="Times New Roman" w:cs="Times New Roman"/>
          <w:sz w:val="24"/>
          <w:szCs w:val="24"/>
        </w:rPr>
      </w:pPr>
      <w:r>
        <w:rPr>
          <w:rFonts w:ascii="Times New Roman" w:hAnsi="Times New Roman" w:cs="Times New Roman"/>
          <w:sz w:val="24"/>
          <w:szCs w:val="24"/>
        </w:rPr>
        <w:t xml:space="preserve">1. </w:t>
      </w:r>
      <w:r w:rsidRPr="00523977">
        <w:rPr>
          <w:rFonts w:ascii="Times New Roman" w:hAnsi="Times New Roman" w:cs="Times New Roman"/>
          <w:sz w:val="24"/>
          <w:szCs w:val="24"/>
        </w:rPr>
        <w:t xml:space="preserve">vrstva (základný náter) musí byť vyhotovená generickým typom náterovej látky - epoxidová - </w:t>
      </w:r>
      <w:proofErr w:type="spellStart"/>
      <w:r w:rsidRPr="00523977">
        <w:rPr>
          <w:rFonts w:ascii="Times New Roman" w:hAnsi="Times New Roman" w:cs="Times New Roman"/>
          <w:sz w:val="24"/>
          <w:szCs w:val="24"/>
        </w:rPr>
        <w:t>mastik</w:t>
      </w:r>
      <w:proofErr w:type="spellEnd"/>
      <w:r w:rsidRPr="00523977">
        <w:rPr>
          <w:rFonts w:ascii="Times New Roman" w:hAnsi="Times New Roman" w:cs="Times New Roman"/>
          <w:sz w:val="24"/>
          <w:szCs w:val="24"/>
        </w:rPr>
        <w:t xml:space="preserve"> </w:t>
      </w:r>
      <w:proofErr w:type="spellStart"/>
      <w:r w:rsidRPr="00523977">
        <w:rPr>
          <w:rFonts w:ascii="Times New Roman" w:hAnsi="Times New Roman" w:cs="Times New Roman"/>
          <w:sz w:val="24"/>
          <w:szCs w:val="24"/>
        </w:rPr>
        <w:t>vysokosušinový</w:t>
      </w:r>
      <w:proofErr w:type="spellEnd"/>
      <w:r w:rsidRPr="00523977">
        <w:rPr>
          <w:rFonts w:ascii="Times New Roman" w:hAnsi="Times New Roman" w:cs="Times New Roman"/>
          <w:sz w:val="24"/>
          <w:szCs w:val="24"/>
        </w:rPr>
        <w:t xml:space="preserve"> (</w:t>
      </w:r>
      <w:proofErr w:type="spellStart"/>
      <w:r w:rsidRPr="00523977">
        <w:rPr>
          <w:rFonts w:ascii="Times New Roman" w:hAnsi="Times New Roman" w:cs="Times New Roman"/>
          <w:sz w:val="24"/>
          <w:szCs w:val="24"/>
        </w:rPr>
        <w:t>EPm</w:t>
      </w:r>
      <w:proofErr w:type="spellEnd"/>
      <w:r w:rsidRPr="00523977">
        <w:rPr>
          <w:rFonts w:ascii="Times New Roman" w:hAnsi="Times New Roman" w:cs="Times New Roman"/>
          <w:sz w:val="24"/>
          <w:szCs w:val="24"/>
        </w:rPr>
        <w:t xml:space="preserve">(HS)) (minimálne 80% objemových) tak, aby po vysušení bola hrúbka vrstvy minimálne 100 </w:t>
      </w:r>
      <w:proofErr w:type="spellStart"/>
      <w:r w:rsidRPr="00523977">
        <w:rPr>
          <w:rFonts w:ascii="Times New Roman" w:hAnsi="Times New Roman" w:cs="Times New Roman"/>
          <w:sz w:val="24"/>
          <w:szCs w:val="24"/>
        </w:rPr>
        <w:t>mikro</w:t>
      </w:r>
      <w:proofErr w:type="spellEnd"/>
      <w:r w:rsidRPr="00523977">
        <w:rPr>
          <w:rFonts w:ascii="Times New Roman" w:hAnsi="Times New Roman" w:cs="Times New Roman"/>
          <w:sz w:val="24"/>
          <w:szCs w:val="24"/>
        </w:rPr>
        <w:t xml:space="preserve"> </w:t>
      </w:r>
      <w:r w:rsidR="00D416AB">
        <w:rPr>
          <w:rFonts w:ascii="Times New Roman" w:hAnsi="Times New Roman" w:cs="Times New Roman"/>
          <w:sz w:val="24"/>
          <w:szCs w:val="24"/>
        </w:rPr>
        <w:t xml:space="preserve">– </w:t>
      </w:r>
      <w:r w:rsidRPr="00523977">
        <w:rPr>
          <w:rFonts w:ascii="Times New Roman" w:hAnsi="Times New Roman" w:cs="Times New Roman"/>
          <w:sz w:val="24"/>
          <w:szCs w:val="24"/>
        </w:rPr>
        <w:t>metrov. Požadovaný odtieň farby – biela (RAL 100)</w:t>
      </w:r>
      <w:r w:rsidR="00EB005B">
        <w:rPr>
          <w:rFonts w:ascii="Times New Roman" w:hAnsi="Times New Roman" w:cs="Times New Roman"/>
          <w:sz w:val="24"/>
          <w:szCs w:val="24"/>
        </w:rPr>
        <w:t>.</w:t>
      </w:r>
    </w:p>
    <w:p w14:paraId="5D65FCC9" w14:textId="11346960" w:rsidR="00131CED" w:rsidRPr="00523977" w:rsidRDefault="00131CED" w:rsidP="000E57B9">
      <w:pPr>
        <w:pStyle w:val="Odsekzoznamu"/>
        <w:numPr>
          <w:ilvl w:val="0"/>
          <w:numId w:val="8"/>
        </w:numPr>
        <w:spacing w:after="160"/>
        <w:ind w:left="1276" w:hanging="283"/>
        <w:jc w:val="both"/>
        <w:rPr>
          <w:rFonts w:ascii="Times New Roman" w:hAnsi="Times New Roman" w:cs="Times New Roman"/>
          <w:sz w:val="24"/>
          <w:szCs w:val="24"/>
        </w:rPr>
      </w:pPr>
      <w:r>
        <w:rPr>
          <w:rFonts w:ascii="Times New Roman" w:hAnsi="Times New Roman" w:cs="Times New Roman"/>
          <w:sz w:val="24"/>
          <w:szCs w:val="24"/>
        </w:rPr>
        <w:lastRenderedPageBreak/>
        <w:t xml:space="preserve">2. </w:t>
      </w:r>
      <w:r w:rsidRPr="00523977">
        <w:rPr>
          <w:rFonts w:ascii="Times New Roman" w:hAnsi="Times New Roman" w:cs="Times New Roman"/>
          <w:sz w:val="24"/>
          <w:szCs w:val="24"/>
        </w:rPr>
        <w:t>vrstva (</w:t>
      </w:r>
      <w:proofErr w:type="spellStart"/>
      <w:r w:rsidRPr="00523977">
        <w:rPr>
          <w:rFonts w:ascii="Times New Roman" w:hAnsi="Times New Roman" w:cs="Times New Roman"/>
          <w:sz w:val="24"/>
          <w:szCs w:val="24"/>
        </w:rPr>
        <w:t>medzivrstvový</w:t>
      </w:r>
      <w:proofErr w:type="spellEnd"/>
      <w:r w:rsidRPr="00523977">
        <w:rPr>
          <w:rFonts w:ascii="Times New Roman" w:hAnsi="Times New Roman" w:cs="Times New Roman"/>
          <w:sz w:val="24"/>
          <w:szCs w:val="24"/>
        </w:rPr>
        <w:t xml:space="preserve"> náter) musí byť vyhotovená tak isto ako 1. vrstva (min. 100 </w:t>
      </w:r>
      <w:proofErr w:type="spellStart"/>
      <w:r w:rsidRPr="00523977">
        <w:rPr>
          <w:rFonts w:ascii="Times New Roman" w:hAnsi="Times New Roman" w:cs="Times New Roman"/>
          <w:sz w:val="24"/>
          <w:szCs w:val="24"/>
        </w:rPr>
        <w:t>mikro</w:t>
      </w:r>
      <w:proofErr w:type="spellEnd"/>
      <w:r w:rsidRPr="00523977">
        <w:rPr>
          <w:rFonts w:ascii="Times New Roman" w:hAnsi="Times New Roman" w:cs="Times New Roman"/>
          <w:sz w:val="24"/>
          <w:szCs w:val="24"/>
        </w:rPr>
        <w:t xml:space="preserve"> – metrov). Požadovaný odtieň je nutné prispôsobiť požadovanému odtieňu vrchného náteru.</w:t>
      </w:r>
    </w:p>
    <w:p w14:paraId="2C9F871C" w14:textId="21C680DD" w:rsidR="00131CED" w:rsidRPr="00523977" w:rsidRDefault="0031207C" w:rsidP="000E57B9">
      <w:pPr>
        <w:pStyle w:val="Odsekzoznamu"/>
        <w:numPr>
          <w:ilvl w:val="0"/>
          <w:numId w:val="8"/>
        </w:numPr>
        <w:spacing w:after="160"/>
        <w:ind w:left="1276" w:hanging="283"/>
        <w:jc w:val="both"/>
        <w:rPr>
          <w:rFonts w:ascii="Times New Roman" w:hAnsi="Times New Roman" w:cs="Times New Roman"/>
          <w:sz w:val="24"/>
          <w:szCs w:val="24"/>
        </w:rPr>
      </w:pPr>
      <w:r>
        <w:rPr>
          <w:rFonts w:ascii="Times New Roman" w:hAnsi="Times New Roman" w:cs="Times New Roman"/>
          <w:sz w:val="24"/>
          <w:szCs w:val="24"/>
        </w:rPr>
        <w:t xml:space="preserve">3. </w:t>
      </w:r>
      <w:r w:rsidR="00131CED" w:rsidRPr="00523977">
        <w:rPr>
          <w:rFonts w:ascii="Times New Roman" w:hAnsi="Times New Roman" w:cs="Times New Roman"/>
          <w:sz w:val="24"/>
          <w:szCs w:val="24"/>
        </w:rPr>
        <w:t xml:space="preserve">vrstva (vrchný náter) musí byť vyhotovená taktiež generickým typom náterovej látky – polyuretánová farba (PUR) tak, aby po vysušení bola hrúbka vrstvy minimálne 80 </w:t>
      </w:r>
      <w:proofErr w:type="spellStart"/>
      <w:r w:rsidR="00131CED" w:rsidRPr="00523977">
        <w:rPr>
          <w:rFonts w:ascii="Times New Roman" w:hAnsi="Times New Roman" w:cs="Times New Roman"/>
          <w:sz w:val="24"/>
          <w:szCs w:val="24"/>
        </w:rPr>
        <w:t>mikro</w:t>
      </w:r>
      <w:proofErr w:type="spellEnd"/>
      <w:r w:rsidR="00131CED" w:rsidRPr="00523977">
        <w:rPr>
          <w:rFonts w:ascii="Times New Roman" w:hAnsi="Times New Roman" w:cs="Times New Roman"/>
          <w:sz w:val="24"/>
          <w:szCs w:val="24"/>
        </w:rPr>
        <w:t xml:space="preserve"> – metrov. Požadovaný odtieň bude určený podľa lokality správcom PTZ DPB, </w:t>
      </w:r>
      <w:proofErr w:type="spellStart"/>
      <w:r w:rsidR="00131CED" w:rsidRPr="00523977">
        <w:rPr>
          <w:rFonts w:ascii="Times New Roman" w:hAnsi="Times New Roman" w:cs="Times New Roman"/>
          <w:sz w:val="24"/>
          <w:szCs w:val="24"/>
        </w:rPr>
        <w:t>a.s</w:t>
      </w:r>
      <w:proofErr w:type="spellEnd"/>
      <w:r w:rsidR="00131CED" w:rsidRPr="00523977">
        <w:rPr>
          <w:rFonts w:ascii="Times New Roman" w:hAnsi="Times New Roman" w:cs="Times New Roman"/>
          <w:sz w:val="24"/>
          <w:szCs w:val="24"/>
        </w:rPr>
        <w:t xml:space="preserve">. (Doteraz používané odtiene boli RAL 9006 – strieborná, RAL 7016 – antracitovo šedá a RAL 7035 – </w:t>
      </w:r>
      <w:proofErr w:type="spellStart"/>
      <w:r w:rsidR="00131CED" w:rsidRPr="00523977">
        <w:rPr>
          <w:rFonts w:ascii="Times New Roman" w:hAnsi="Times New Roman" w:cs="Times New Roman"/>
          <w:sz w:val="24"/>
          <w:szCs w:val="24"/>
        </w:rPr>
        <w:t>svetlošedá</w:t>
      </w:r>
      <w:proofErr w:type="spellEnd"/>
      <w:r w:rsidR="00131CED" w:rsidRPr="00523977">
        <w:rPr>
          <w:rFonts w:ascii="Times New Roman" w:hAnsi="Times New Roman" w:cs="Times New Roman"/>
          <w:sz w:val="24"/>
          <w:szCs w:val="24"/>
        </w:rPr>
        <w:t>)</w:t>
      </w:r>
      <w:r w:rsidR="00EB005B">
        <w:rPr>
          <w:rFonts w:ascii="Times New Roman" w:hAnsi="Times New Roman" w:cs="Times New Roman"/>
          <w:sz w:val="24"/>
          <w:szCs w:val="24"/>
        </w:rPr>
        <w:t>.</w:t>
      </w:r>
    </w:p>
    <w:p w14:paraId="7F0EF9B6" w14:textId="2D65AD28" w:rsidR="00131CED" w:rsidRPr="00523977" w:rsidRDefault="00131CED" w:rsidP="000E57B9">
      <w:pPr>
        <w:pStyle w:val="Odsekzoznamu"/>
        <w:numPr>
          <w:ilvl w:val="2"/>
          <w:numId w:val="8"/>
        </w:numPr>
        <w:spacing w:after="160"/>
        <w:ind w:left="1276" w:hanging="283"/>
        <w:jc w:val="both"/>
        <w:rPr>
          <w:rFonts w:ascii="Times New Roman" w:hAnsi="Times New Roman" w:cs="Times New Roman"/>
          <w:sz w:val="24"/>
          <w:szCs w:val="24"/>
        </w:rPr>
      </w:pPr>
      <w:r w:rsidRPr="00523977">
        <w:rPr>
          <w:rFonts w:ascii="Times New Roman" w:hAnsi="Times New Roman" w:cs="Times New Roman"/>
          <w:sz w:val="24"/>
          <w:szCs w:val="24"/>
        </w:rPr>
        <w:t>Realizácia náterového systému musí byť zhotoviteľom priebežne kontrolovaná odborným personálom. Personál, ktorý vykonáva kontrolu, musí byť k</w:t>
      </w:r>
      <w:r w:rsidR="005D3AEC">
        <w:rPr>
          <w:rFonts w:ascii="Times New Roman" w:hAnsi="Times New Roman" w:cs="Times New Roman"/>
          <w:sz w:val="24"/>
          <w:szCs w:val="24"/>
        </w:rPr>
        <w:t> </w:t>
      </w:r>
      <w:r w:rsidRPr="00523977">
        <w:rPr>
          <w:rFonts w:ascii="Times New Roman" w:hAnsi="Times New Roman" w:cs="Times New Roman"/>
          <w:sz w:val="24"/>
          <w:szCs w:val="24"/>
        </w:rPr>
        <w:t>tomu</w:t>
      </w:r>
      <w:r w:rsidR="005D3AEC">
        <w:rPr>
          <w:rFonts w:ascii="Times New Roman" w:hAnsi="Times New Roman" w:cs="Times New Roman"/>
          <w:sz w:val="24"/>
          <w:szCs w:val="24"/>
        </w:rPr>
        <w:t xml:space="preserve"> </w:t>
      </w:r>
      <w:r w:rsidRPr="00523977">
        <w:rPr>
          <w:rFonts w:ascii="Times New Roman" w:hAnsi="Times New Roman" w:cs="Times New Roman"/>
          <w:sz w:val="24"/>
          <w:szCs w:val="24"/>
        </w:rPr>
        <w:t>oprávnený a odborne kvalifikovaný, napr.</w:t>
      </w:r>
      <w:r w:rsidR="005D3AEC">
        <w:rPr>
          <w:rFonts w:ascii="Times New Roman" w:hAnsi="Times New Roman" w:cs="Times New Roman"/>
          <w:sz w:val="24"/>
          <w:szCs w:val="24"/>
        </w:rPr>
        <w:t xml:space="preserve"> </w:t>
      </w:r>
      <w:r w:rsidRPr="00523977">
        <w:rPr>
          <w:rFonts w:ascii="Times New Roman" w:hAnsi="Times New Roman" w:cs="Times New Roman"/>
          <w:sz w:val="24"/>
          <w:szCs w:val="24"/>
        </w:rPr>
        <w:t>korózny inžinier, náterový technik, inšpektor  FROSIO  v súlade  s NS  476  alebo  ekvivalent.</w:t>
      </w:r>
    </w:p>
    <w:p w14:paraId="7C8EB253" w14:textId="77777777" w:rsidR="00131CED" w:rsidRPr="00523977" w:rsidRDefault="00131CED" w:rsidP="000E57B9">
      <w:pPr>
        <w:pStyle w:val="Odsekzoznamu"/>
        <w:numPr>
          <w:ilvl w:val="2"/>
          <w:numId w:val="8"/>
        </w:numPr>
        <w:spacing w:after="160"/>
        <w:ind w:left="1276" w:hanging="283"/>
        <w:jc w:val="both"/>
        <w:rPr>
          <w:rFonts w:ascii="Times New Roman" w:hAnsi="Times New Roman" w:cs="Times New Roman"/>
          <w:sz w:val="24"/>
          <w:szCs w:val="24"/>
        </w:rPr>
      </w:pPr>
      <w:r w:rsidRPr="00523977">
        <w:rPr>
          <w:rFonts w:ascii="Times New Roman" w:hAnsi="Times New Roman" w:cs="Times New Roman"/>
          <w:sz w:val="24"/>
          <w:szCs w:val="24"/>
        </w:rPr>
        <w:t>Ku každému natretému stožiaru vyhotoví zhotoviteľ certifikát v ktorom deklaruje dodržanie požadovaného technologického postupu a namerané skutočné hodnoty hrúbky jednotlivých vrstiev.</w:t>
      </w:r>
    </w:p>
    <w:p w14:paraId="095C1A0F" w14:textId="77777777" w:rsidR="00131CED" w:rsidRPr="00523977" w:rsidRDefault="00131CED" w:rsidP="000E57B9">
      <w:pPr>
        <w:pStyle w:val="Odsekzoznamu"/>
        <w:numPr>
          <w:ilvl w:val="2"/>
          <w:numId w:val="8"/>
        </w:numPr>
        <w:spacing w:after="160"/>
        <w:ind w:left="1276" w:hanging="283"/>
        <w:jc w:val="both"/>
        <w:rPr>
          <w:rFonts w:ascii="Times New Roman" w:hAnsi="Times New Roman" w:cs="Times New Roman"/>
          <w:sz w:val="24"/>
          <w:szCs w:val="24"/>
        </w:rPr>
      </w:pPr>
      <w:r w:rsidRPr="00523977">
        <w:rPr>
          <w:rFonts w:ascii="Times New Roman" w:hAnsi="Times New Roman" w:cs="Times New Roman"/>
          <w:sz w:val="24"/>
          <w:szCs w:val="24"/>
        </w:rPr>
        <w:t>Náterový systém musí vyhovovať pre životnosť „vysokú“  t. j. viac ako 15 rokov.</w:t>
      </w:r>
    </w:p>
    <w:p w14:paraId="2D606753" w14:textId="48D9F8BC" w:rsidR="00131CED" w:rsidRPr="00523977" w:rsidRDefault="00131CED" w:rsidP="000E57B9">
      <w:pPr>
        <w:pStyle w:val="Odsekzoznamu"/>
        <w:numPr>
          <w:ilvl w:val="2"/>
          <w:numId w:val="8"/>
        </w:numPr>
        <w:spacing w:after="160"/>
        <w:ind w:left="1276" w:hanging="283"/>
        <w:jc w:val="both"/>
        <w:rPr>
          <w:rFonts w:ascii="Times New Roman" w:hAnsi="Times New Roman" w:cs="Times New Roman"/>
          <w:sz w:val="24"/>
          <w:szCs w:val="24"/>
        </w:rPr>
      </w:pPr>
      <w:r w:rsidRPr="00523977">
        <w:rPr>
          <w:rFonts w:ascii="Times New Roman" w:hAnsi="Times New Roman" w:cs="Times New Roman"/>
          <w:sz w:val="24"/>
          <w:szCs w:val="24"/>
        </w:rPr>
        <w:t>Pokiaľ je predmetným stožiarom kombinovaný trakčný stožiar s liatinovým krytom, tak je predmetom náterov aj tento kryt a to z oboch strán a samozrejme aj výložník verejného osvetlenia (VO) a to podľa postupu popísaného vyššie.</w:t>
      </w:r>
    </w:p>
    <w:p w14:paraId="1EB152EB" w14:textId="6E9B831F" w:rsidR="00131CED" w:rsidRPr="000E57B9" w:rsidRDefault="00131CED" w:rsidP="000E57B9">
      <w:pPr>
        <w:pStyle w:val="Odsekzoznamu"/>
        <w:numPr>
          <w:ilvl w:val="2"/>
          <w:numId w:val="8"/>
        </w:numPr>
        <w:spacing w:after="160"/>
        <w:ind w:left="1276" w:hanging="283"/>
        <w:jc w:val="both"/>
        <w:rPr>
          <w:rFonts w:ascii="Times New Roman" w:hAnsi="Times New Roman" w:cs="Times New Roman"/>
          <w:sz w:val="24"/>
          <w:szCs w:val="24"/>
        </w:rPr>
      </w:pPr>
      <w:r w:rsidRPr="00523977">
        <w:rPr>
          <w:rFonts w:ascii="Times New Roman" w:hAnsi="Times New Roman" w:cs="Times New Roman"/>
          <w:sz w:val="24"/>
          <w:szCs w:val="24"/>
        </w:rPr>
        <w:t>Pokiaľ sa na stožiari nachádzajú oceľové konštrukcie, prípadne je na ňom osadený oceľový výložník, tak sú taktiež predmetom náterov podľa vyššie popísaného postupu.</w:t>
      </w:r>
    </w:p>
    <w:p w14:paraId="7CD82A1C" w14:textId="77777777" w:rsidR="00131CED" w:rsidRDefault="00911A85" w:rsidP="000E57B9">
      <w:pPr>
        <w:pStyle w:val="Odsekzoznamu"/>
        <w:numPr>
          <w:ilvl w:val="1"/>
          <w:numId w:val="5"/>
        </w:numPr>
        <w:spacing w:after="160"/>
        <w:ind w:left="851" w:hanging="284"/>
        <w:jc w:val="both"/>
        <w:rPr>
          <w:rFonts w:ascii="Times New Roman" w:eastAsia="Times New Roman" w:hAnsi="Times New Roman" w:cs="Times New Roman"/>
          <w:sz w:val="24"/>
          <w:szCs w:val="24"/>
        </w:rPr>
      </w:pPr>
      <w:r w:rsidRPr="00131CED">
        <w:rPr>
          <w:rFonts w:ascii="Times New Roman" w:eastAsia="Times New Roman" w:hAnsi="Times New Roman" w:cs="Times New Roman"/>
          <w:sz w:val="24"/>
          <w:szCs w:val="24"/>
        </w:rPr>
        <w:t xml:space="preserve">Po ukončení náterových prác nasleduje opätovná montáž zariadení, ktoré boli pred náterom demontované ako sú smetné koše, dopravné značky, informačné tabule a pod. Na uchytenie všetkých týchto prvkov je nutné použiť systém s nerezovými pásikmi a zámkami – napr. systém </w:t>
      </w:r>
      <w:proofErr w:type="spellStart"/>
      <w:r w:rsidRPr="00131CED">
        <w:rPr>
          <w:rFonts w:ascii="Times New Roman" w:eastAsia="Times New Roman" w:hAnsi="Times New Roman" w:cs="Times New Roman"/>
          <w:sz w:val="24"/>
          <w:szCs w:val="24"/>
        </w:rPr>
        <w:t>Bandimex</w:t>
      </w:r>
      <w:proofErr w:type="spellEnd"/>
      <w:r w:rsidRPr="00131CED">
        <w:rPr>
          <w:rFonts w:ascii="Times New Roman" w:eastAsia="Times New Roman" w:hAnsi="Times New Roman" w:cs="Times New Roman"/>
          <w:sz w:val="24"/>
          <w:szCs w:val="24"/>
        </w:rPr>
        <w:t>, alebo ekvivalent.</w:t>
      </w:r>
    </w:p>
    <w:p w14:paraId="3BF2E0B3" w14:textId="1F327048" w:rsidR="00911A85" w:rsidRPr="00131CED" w:rsidRDefault="00911A85" w:rsidP="000E57B9">
      <w:pPr>
        <w:pStyle w:val="Odsekzoznamu"/>
        <w:numPr>
          <w:ilvl w:val="1"/>
          <w:numId w:val="5"/>
        </w:numPr>
        <w:spacing w:after="160"/>
        <w:ind w:left="851" w:hanging="284"/>
        <w:jc w:val="both"/>
        <w:rPr>
          <w:rFonts w:ascii="Times New Roman" w:eastAsia="Times New Roman" w:hAnsi="Times New Roman" w:cs="Times New Roman"/>
          <w:sz w:val="24"/>
          <w:szCs w:val="24"/>
        </w:rPr>
      </w:pPr>
      <w:r w:rsidRPr="00131CED">
        <w:rPr>
          <w:rFonts w:ascii="Times New Roman" w:eastAsia="Times New Roman" w:hAnsi="Times New Roman" w:cs="Times New Roman"/>
          <w:sz w:val="24"/>
          <w:szCs w:val="24"/>
        </w:rPr>
        <w:t>V prípade kombinovaných trakčných stožiarov s liatinovým krytom drieku požadujeme spätnú montáž vykonať s novými skrutkami a matkami s antikoróznou povrchovou úpravou (napr. pozinkovanie, poniklovanie a pod.)</w:t>
      </w:r>
      <w:r w:rsidR="00EB005B">
        <w:rPr>
          <w:rFonts w:ascii="Times New Roman" w:eastAsia="Times New Roman" w:hAnsi="Times New Roman" w:cs="Times New Roman"/>
          <w:sz w:val="24"/>
          <w:szCs w:val="24"/>
        </w:rPr>
        <w:t>.</w:t>
      </w:r>
    </w:p>
    <w:p w14:paraId="4FB9463D" w14:textId="77777777" w:rsidR="00FC5D04" w:rsidRPr="005038B7" w:rsidRDefault="00FC5D04" w:rsidP="00523977">
      <w:pPr>
        <w:pStyle w:val="Odsekzoznamu"/>
        <w:jc w:val="both"/>
        <w:rPr>
          <w:rFonts w:ascii="Times New Roman" w:eastAsia="Times New Roman" w:hAnsi="Times New Roman" w:cs="Times New Roman"/>
          <w:sz w:val="24"/>
          <w:szCs w:val="24"/>
        </w:rPr>
      </w:pPr>
    </w:p>
    <w:p w14:paraId="49CE1F29" w14:textId="77777777" w:rsidR="00CD1147" w:rsidRPr="005038B7" w:rsidRDefault="00CD1147" w:rsidP="005038B7">
      <w:pPr>
        <w:jc w:val="both"/>
        <w:rPr>
          <w:rFonts w:ascii="Times New Roman" w:hAnsi="Times New Roman" w:cs="Times New Roman"/>
          <w:sz w:val="24"/>
          <w:szCs w:val="24"/>
        </w:rPr>
      </w:pPr>
    </w:p>
    <w:sectPr w:rsidR="00CD1147" w:rsidRPr="005038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A4F03"/>
    <w:multiLevelType w:val="hybridMultilevel"/>
    <w:tmpl w:val="C96E1EA0"/>
    <w:lvl w:ilvl="0" w:tplc="0B948B8E">
      <w:start w:val="1"/>
      <w:numFmt w:val="decimal"/>
      <w:lvlText w:val="%1."/>
      <w:lvlJc w:val="righ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2B00F9D"/>
    <w:multiLevelType w:val="hybridMultilevel"/>
    <w:tmpl w:val="3EFA74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AEA27AD"/>
    <w:multiLevelType w:val="hybridMultilevel"/>
    <w:tmpl w:val="C4A81038"/>
    <w:lvl w:ilvl="0" w:tplc="0B948B8E">
      <w:start w:val="1"/>
      <w:numFmt w:val="decimal"/>
      <w:lvlText w:val="%1."/>
      <w:lvlJc w:val="right"/>
      <w:pPr>
        <w:ind w:left="720" w:hanging="360"/>
      </w:pPr>
      <w:rPr>
        <w:rFonts w:cs="Times New Roman" w:hint="default"/>
      </w:rPr>
    </w:lvl>
    <w:lvl w:ilvl="1" w:tplc="041B0019">
      <w:start w:val="1"/>
      <w:numFmt w:val="lowerLetter"/>
      <w:lvlText w:val="%2."/>
      <w:lvlJc w:val="left"/>
      <w:pPr>
        <w:ind w:left="1440" w:hanging="360"/>
      </w:pPr>
    </w:lvl>
    <w:lvl w:ilvl="2" w:tplc="0B948B8E">
      <w:start w:val="1"/>
      <w:numFmt w:val="decimal"/>
      <w:lvlText w:val="%3."/>
      <w:lvlJc w:val="right"/>
      <w:pPr>
        <w:ind w:left="2160" w:hanging="180"/>
      </w:pPr>
      <w:rPr>
        <w:rFonts w:cs="Times New Roman"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3EF5279"/>
    <w:multiLevelType w:val="hybridMultilevel"/>
    <w:tmpl w:val="B96844DE"/>
    <w:lvl w:ilvl="0" w:tplc="041B000F">
      <w:start w:val="1"/>
      <w:numFmt w:val="decimal"/>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01">
      <w:start w:val="1"/>
      <w:numFmt w:val="bullet"/>
      <w:lvlText w:val=""/>
      <w:lvlJc w:val="left"/>
      <w:pPr>
        <w:ind w:left="2160" w:hanging="180"/>
      </w:pPr>
      <w:rPr>
        <w:rFonts w:ascii="Symbol" w:hAnsi="Symbol" w:hint="default"/>
      </w:rPr>
    </w:lvl>
    <w:lvl w:ilvl="3" w:tplc="041B0001">
      <w:start w:val="1"/>
      <w:numFmt w:val="bullet"/>
      <w:lvlText w:val=""/>
      <w:lvlJc w:val="left"/>
      <w:pPr>
        <w:ind w:left="2880" w:hanging="360"/>
      </w:pPr>
      <w:rPr>
        <w:rFonts w:ascii="Symbol" w:hAnsi="Symbol"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3661634B"/>
    <w:multiLevelType w:val="hybridMultilevel"/>
    <w:tmpl w:val="C67E7E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D4DCB9E2">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45E04FF"/>
    <w:multiLevelType w:val="hybridMultilevel"/>
    <w:tmpl w:val="BB9A8016"/>
    <w:lvl w:ilvl="0" w:tplc="0B948B8E">
      <w:start w:val="1"/>
      <w:numFmt w:val="decimal"/>
      <w:lvlText w:val="%1."/>
      <w:lvlJc w:val="right"/>
      <w:pPr>
        <w:ind w:left="720" w:hanging="360"/>
      </w:pPr>
      <w:rPr>
        <w:rFonts w:cs="Times New Roman" w:hint="default"/>
      </w:rPr>
    </w:lvl>
    <w:lvl w:ilvl="1" w:tplc="0B948B8E">
      <w:start w:val="1"/>
      <w:numFmt w:val="decimal"/>
      <w:lvlText w:val="%2."/>
      <w:lvlJc w:val="right"/>
      <w:pPr>
        <w:ind w:left="1440" w:hanging="360"/>
      </w:pPr>
      <w:rPr>
        <w:rFonts w:cs="Times New Roman"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CC8573E"/>
    <w:multiLevelType w:val="hybridMultilevel"/>
    <w:tmpl w:val="74CA0E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1">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0"/>
  </w:num>
  <w:num w:numId="5">
    <w:abstractNumId w:val="5"/>
  </w:num>
  <w:num w:numId="6">
    <w:abstractNumId w:val="2"/>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A85"/>
    <w:rsid w:val="000E57B9"/>
    <w:rsid w:val="00131CED"/>
    <w:rsid w:val="002B05EE"/>
    <w:rsid w:val="0031207C"/>
    <w:rsid w:val="00366182"/>
    <w:rsid w:val="00462B63"/>
    <w:rsid w:val="005038B7"/>
    <w:rsid w:val="00523977"/>
    <w:rsid w:val="005D3AEC"/>
    <w:rsid w:val="006339D1"/>
    <w:rsid w:val="00791607"/>
    <w:rsid w:val="00911A85"/>
    <w:rsid w:val="009A096F"/>
    <w:rsid w:val="00AD1C2B"/>
    <w:rsid w:val="00AD6786"/>
    <w:rsid w:val="00CD1147"/>
    <w:rsid w:val="00CF4DD9"/>
    <w:rsid w:val="00D20600"/>
    <w:rsid w:val="00D416AB"/>
    <w:rsid w:val="00D838FE"/>
    <w:rsid w:val="00EB005B"/>
    <w:rsid w:val="00FC5D0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96648"/>
  <w15:chartTrackingRefBased/>
  <w15:docId w15:val="{F7FEAB5A-5375-4E89-A997-C2DFD8369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11A85"/>
    <w:pPr>
      <w:spacing w:after="0" w:line="240" w:lineRule="auto"/>
    </w:pPr>
    <w:rPr>
      <w:rFonts w:ascii="Calibri" w:hAnsi="Calibri" w:cs="Calibri"/>
    </w:rPr>
  </w:style>
  <w:style w:type="paragraph" w:styleId="Nadpis2">
    <w:name w:val="heading 2"/>
    <w:basedOn w:val="Normlny"/>
    <w:next w:val="Normlny"/>
    <w:link w:val="Nadpis2Char"/>
    <w:uiPriority w:val="9"/>
    <w:unhideWhenUsed/>
    <w:qFormat/>
    <w:rsid w:val="005038B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911A85"/>
    <w:pPr>
      <w:ind w:left="720"/>
    </w:pPr>
  </w:style>
  <w:style w:type="character" w:customStyle="1" w:styleId="Nadpis2Char">
    <w:name w:val="Nadpis 2 Char"/>
    <w:basedOn w:val="Predvolenpsmoodseku"/>
    <w:link w:val="Nadpis2"/>
    <w:uiPriority w:val="9"/>
    <w:rsid w:val="005038B7"/>
    <w:rPr>
      <w:rFonts w:asciiTheme="majorHAnsi" w:eastAsiaTheme="majorEastAsia" w:hAnsiTheme="majorHAnsi" w:cstheme="majorBidi"/>
      <w:color w:val="2F5496" w:themeColor="accent1" w:themeShade="BF"/>
      <w:sz w:val="26"/>
      <w:szCs w:val="26"/>
    </w:rPr>
  </w:style>
  <w:style w:type="character" w:styleId="Odkaznakomentr">
    <w:name w:val="annotation reference"/>
    <w:basedOn w:val="Predvolenpsmoodseku"/>
    <w:uiPriority w:val="99"/>
    <w:semiHidden/>
    <w:unhideWhenUsed/>
    <w:rsid w:val="00366182"/>
    <w:rPr>
      <w:sz w:val="16"/>
      <w:szCs w:val="16"/>
    </w:rPr>
  </w:style>
  <w:style w:type="paragraph" w:styleId="Textkomentra">
    <w:name w:val="annotation text"/>
    <w:basedOn w:val="Normlny"/>
    <w:link w:val="TextkomentraChar"/>
    <w:uiPriority w:val="99"/>
    <w:semiHidden/>
    <w:unhideWhenUsed/>
    <w:rsid w:val="00366182"/>
    <w:rPr>
      <w:sz w:val="20"/>
      <w:szCs w:val="20"/>
    </w:rPr>
  </w:style>
  <w:style w:type="character" w:customStyle="1" w:styleId="TextkomentraChar">
    <w:name w:val="Text komentára Char"/>
    <w:basedOn w:val="Predvolenpsmoodseku"/>
    <w:link w:val="Textkomentra"/>
    <w:uiPriority w:val="99"/>
    <w:semiHidden/>
    <w:rsid w:val="00366182"/>
    <w:rPr>
      <w:rFonts w:ascii="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366182"/>
    <w:rPr>
      <w:b/>
      <w:bCs/>
    </w:rPr>
  </w:style>
  <w:style w:type="character" w:customStyle="1" w:styleId="PredmetkomentraChar">
    <w:name w:val="Predmet komentára Char"/>
    <w:basedOn w:val="TextkomentraChar"/>
    <w:link w:val="Predmetkomentra"/>
    <w:uiPriority w:val="99"/>
    <w:semiHidden/>
    <w:rsid w:val="00366182"/>
    <w:rPr>
      <w:rFonts w:ascii="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70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705</Words>
  <Characters>4020</Characters>
  <Application>Microsoft Office Word</Application>
  <DocSecurity>0</DocSecurity>
  <Lines>33</Lines>
  <Paragraphs>9</Paragraphs>
  <ScaleCrop>false</ScaleCrop>
  <Company/>
  <LinksUpToDate>false</LinksUpToDate>
  <CharactersWithSpaces>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Kollár Karol</dc:creator>
  <cp:keywords/>
  <dc:description/>
  <cp:lastModifiedBy>Jamnická Zuzana, JUDr.</cp:lastModifiedBy>
  <cp:revision>4</cp:revision>
  <dcterms:created xsi:type="dcterms:W3CDTF">2021-06-09T12:33:00Z</dcterms:created>
  <dcterms:modified xsi:type="dcterms:W3CDTF">2021-08-01T20:39:00Z</dcterms:modified>
</cp:coreProperties>
</file>