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260C" w14:textId="77777777" w:rsidR="00827008" w:rsidRPr="00A435EC" w:rsidRDefault="00827008" w:rsidP="00827008">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A435EC">
        <w:rPr>
          <w:rStyle w:val="CharStyle9"/>
          <w:rFonts w:asciiTheme="minorHAnsi" w:hAnsiTheme="minorHAnsi" w:cstheme="minorHAnsi"/>
          <w:b/>
          <w:color w:val="000000"/>
          <w:sz w:val="24"/>
          <w:szCs w:val="24"/>
        </w:rPr>
        <w:t xml:space="preserve">Zmluva </w:t>
      </w:r>
      <w:bookmarkEnd w:id="0"/>
      <w:r w:rsidRPr="00A435EC">
        <w:rPr>
          <w:rStyle w:val="CharStyle9"/>
          <w:rFonts w:asciiTheme="minorHAnsi" w:hAnsiTheme="minorHAnsi" w:cstheme="minorHAnsi"/>
          <w:b/>
          <w:color w:val="000000"/>
          <w:sz w:val="24"/>
          <w:szCs w:val="24"/>
        </w:rPr>
        <w:t>o dielo</w:t>
      </w:r>
    </w:p>
    <w:p w14:paraId="42B68D4D" w14:textId="77777777" w:rsidR="00827008" w:rsidRPr="00747A6A" w:rsidRDefault="00827008" w:rsidP="00827008">
      <w:pPr>
        <w:pStyle w:val="Style8"/>
        <w:keepNext/>
        <w:keepLines/>
        <w:shd w:val="clear" w:color="auto" w:fill="auto"/>
        <w:spacing w:line="240" w:lineRule="auto"/>
        <w:ind w:right="80"/>
        <w:rPr>
          <w:rFonts w:asciiTheme="minorHAnsi" w:hAnsiTheme="minorHAnsi" w:cstheme="minorHAnsi"/>
          <w:sz w:val="22"/>
          <w:szCs w:val="22"/>
        </w:rPr>
      </w:pPr>
    </w:p>
    <w:p w14:paraId="70578EDF" w14:textId="77777777" w:rsidR="00827008" w:rsidRPr="00747A6A" w:rsidRDefault="00827008" w:rsidP="0082700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podľa § 536 a </w:t>
      </w:r>
      <w:proofErr w:type="spellStart"/>
      <w:r w:rsidRPr="00747A6A">
        <w:rPr>
          <w:rStyle w:val="CharStyle10"/>
          <w:rFonts w:asciiTheme="minorHAnsi" w:hAnsiTheme="minorHAnsi" w:cstheme="minorHAnsi"/>
          <w:color w:val="000000"/>
          <w:sz w:val="22"/>
          <w:szCs w:val="22"/>
        </w:rPr>
        <w:t>nasl</w:t>
      </w:r>
      <w:proofErr w:type="spellEnd"/>
      <w:r w:rsidRPr="00747A6A">
        <w:rPr>
          <w:rStyle w:val="CharStyle10"/>
          <w:rFonts w:asciiTheme="minorHAnsi" w:hAnsiTheme="minorHAnsi" w:cstheme="minorHAnsi"/>
          <w:color w:val="000000"/>
          <w:sz w:val="22"/>
          <w:szCs w:val="22"/>
        </w:rPr>
        <w:t xml:space="preserve">.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14:paraId="6A110149" w14:textId="77777777" w:rsidR="00827008" w:rsidRPr="00747A6A" w:rsidRDefault="00827008" w:rsidP="0082700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14:paraId="296B4C86" w14:textId="77777777" w:rsidR="00827008" w:rsidRPr="00747A6A" w:rsidRDefault="00827008" w:rsidP="00827008">
      <w:pPr>
        <w:pStyle w:val="Bezriadkovania"/>
        <w:rPr>
          <w:rStyle w:val="CharStyle10"/>
          <w:rFonts w:asciiTheme="minorHAnsi" w:hAnsiTheme="minorHAnsi" w:cstheme="minorHAnsi"/>
          <w:b/>
          <w:sz w:val="22"/>
          <w:szCs w:val="22"/>
        </w:rPr>
      </w:pPr>
    </w:p>
    <w:p w14:paraId="146385F3" w14:textId="77777777" w:rsidR="00827008" w:rsidRPr="00747A6A" w:rsidRDefault="00827008" w:rsidP="00827008">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14:paraId="491689E0" w14:textId="77777777" w:rsidR="00827008" w:rsidRPr="00747A6A"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sidR="005F4DBD">
        <w:rPr>
          <w:rFonts w:asciiTheme="minorHAnsi" w:hAnsiTheme="minorHAnsi" w:cstheme="minorHAnsi"/>
          <w:b/>
          <w:i/>
          <w:sz w:val="22"/>
          <w:szCs w:val="22"/>
          <w:highlight w:val="lightGray"/>
        </w:rPr>
        <w:t>4</w:t>
      </w:r>
    </w:p>
    <w:p w14:paraId="00B444F9" w14:textId="77777777" w:rsidR="00A435EC"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sz w:val="22"/>
          <w:szCs w:val="22"/>
          <w:highlight w:val="lightGray"/>
        </w:rPr>
        <w:t>oprav</w:t>
      </w:r>
      <w:r w:rsidR="005F4DBD">
        <w:rPr>
          <w:rFonts w:asciiTheme="minorHAnsi" w:hAnsiTheme="minorHAnsi" w:cstheme="minorHAnsi"/>
          <w:b/>
          <w:sz w:val="22"/>
          <w:szCs w:val="22"/>
          <w:highlight w:val="lightGray"/>
        </w:rPr>
        <w:t>a</w:t>
      </w:r>
      <w:r w:rsidRPr="00747A6A">
        <w:rPr>
          <w:rFonts w:asciiTheme="minorHAnsi" w:hAnsiTheme="minorHAnsi" w:cstheme="minorHAnsi"/>
          <w:b/>
          <w:sz w:val="22"/>
          <w:szCs w:val="22"/>
          <w:highlight w:val="lightGray"/>
        </w:rPr>
        <w:t xml:space="preserve"> podvozku TATRA T815 EURO II </w:t>
      </w:r>
      <w:r w:rsidR="005F4DBD">
        <w:rPr>
          <w:rFonts w:asciiTheme="minorHAnsi" w:hAnsiTheme="minorHAnsi" w:cstheme="minorHAnsi"/>
          <w:b/>
          <w:sz w:val="22"/>
          <w:szCs w:val="22"/>
          <w:highlight w:val="lightGray"/>
        </w:rPr>
        <w:t xml:space="preserve">260S43 19 255 4x4.1 </w:t>
      </w:r>
      <w:r w:rsidRPr="00747A6A">
        <w:rPr>
          <w:rFonts w:asciiTheme="minorHAnsi" w:hAnsiTheme="minorHAnsi" w:cstheme="minorHAnsi"/>
          <w:b/>
          <w:sz w:val="22"/>
          <w:szCs w:val="22"/>
          <w:highlight w:val="lightGray"/>
        </w:rPr>
        <w:t xml:space="preserve">v počte 1 ks </w:t>
      </w:r>
    </w:p>
    <w:p w14:paraId="1EC6BBD5" w14:textId="77777777" w:rsidR="00827008" w:rsidRPr="00747A6A" w:rsidRDefault="00827008" w:rsidP="00827008">
      <w:pPr>
        <w:pStyle w:val="Bezriadkovania"/>
        <w:jc w:val="center"/>
        <w:rPr>
          <w:rStyle w:val="CharStyle13"/>
          <w:rFonts w:asciiTheme="minorHAnsi" w:hAnsiTheme="minorHAnsi" w:cstheme="minorHAnsi"/>
          <w:bCs w:val="0"/>
          <w:sz w:val="22"/>
          <w:szCs w:val="22"/>
          <w:highlight w:val="lightGray"/>
        </w:rPr>
      </w:pPr>
      <w:r w:rsidRPr="00747A6A">
        <w:rPr>
          <w:rStyle w:val="CharStyle13"/>
          <w:rFonts w:asciiTheme="minorHAnsi" w:hAnsiTheme="minorHAnsi" w:cstheme="minorHAnsi"/>
          <w:sz w:val="22"/>
          <w:szCs w:val="22"/>
          <w:highlight w:val="lightGray"/>
        </w:rPr>
        <w:t>( ďalej iba „Zmluva“ )</w:t>
      </w:r>
    </w:p>
    <w:p w14:paraId="492096C6" w14:textId="77777777" w:rsidR="00827008" w:rsidRPr="00747A6A" w:rsidRDefault="00827008" w:rsidP="00827008">
      <w:pPr>
        <w:pStyle w:val="Bezriadkovania"/>
        <w:rPr>
          <w:rStyle w:val="CharStyle10"/>
          <w:rFonts w:asciiTheme="minorHAnsi" w:hAnsiTheme="minorHAnsi" w:cstheme="minorHAnsi"/>
          <w:sz w:val="22"/>
          <w:szCs w:val="22"/>
        </w:rPr>
      </w:pPr>
    </w:p>
    <w:p w14:paraId="0244F859" w14:textId="77777777" w:rsidR="00827008" w:rsidRPr="00747A6A" w:rsidRDefault="00827008" w:rsidP="00827008">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14:paraId="2AF81200" w14:textId="77777777" w:rsidR="00827008" w:rsidRPr="00747A6A" w:rsidRDefault="00827008" w:rsidP="00827008">
      <w:pPr>
        <w:rPr>
          <w:rStyle w:val="CharStyle13"/>
          <w:rFonts w:asciiTheme="minorHAnsi" w:hAnsiTheme="minorHAnsi" w:cstheme="minorHAnsi"/>
          <w:b w:val="0"/>
          <w:bCs w:val="0"/>
          <w:sz w:val="22"/>
          <w:szCs w:val="22"/>
        </w:rPr>
      </w:pPr>
    </w:p>
    <w:p w14:paraId="09D74F2A" w14:textId="77777777" w:rsidR="00827008" w:rsidRPr="00747A6A" w:rsidRDefault="00827008" w:rsidP="00827008">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14:paraId="2404BB7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14:paraId="6498FA28" w14:textId="77777777" w:rsidR="00827008" w:rsidRPr="00747A6A" w:rsidRDefault="00827008" w:rsidP="00827008">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14:paraId="5BC1AB45"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2FD44EA2"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 xml:space="preserve">Mgr. Nikoleta </w:t>
      </w:r>
      <w:proofErr w:type="spellStart"/>
      <w:r w:rsidRPr="00747A6A">
        <w:rPr>
          <w:rFonts w:asciiTheme="minorHAnsi" w:hAnsiTheme="minorHAnsi" w:cstheme="minorHAnsi"/>
          <w:sz w:val="22"/>
          <w:szCs w:val="22"/>
        </w:rPr>
        <w:t>Oktavcová</w:t>
      </w:r>
      <w:proofErr w:type="spellEnd"/>
      <w:r w:rsidRPr="00747A6A">
        <w:rPr>
          <w:rFonts w:asciiTheme="minorHAnsi" w:hAnsiTheme="minorHAnsi" w:cstheme="minorHAnsi"/>
          <w:sz w:val="22"/>
          <w:szCs w:val="22"/>
        </w:rPr>
        <w:t>, podpredseda predstavenstva</w:t>
      </w:r>
    </w:p>
    <w:p w14:paraId="7ED96B26"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75F089E3"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27E6B7B0"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592195E8"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14:paraId="7880BD3E"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14:paraId="7DE8FD2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14:paraId="6E452805"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14:paraId="6E1D3A14"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14:paraId="724A119D"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14:paraId="1E92BA16"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14:paraId="7DF98FD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14:paraId="6A0F3D1C" w14:textId="77777777" w:rsidR="00827008" w:rsidRPr="00747A6A" w:rsidRDefault="00827008" w:rsidP="00827008">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14:paraId="65A8427F" w14:textId="77777777" w:rsidR="00827008" w:rsidRPr="00747A6A" w:rsidRDefault="00827008" w:rsidP="00827008">
      <w:pPr>
        <w:jc w:val="both"/>
        <w:rPr>
          <w:rFonts w:asciiTheme="minorHAnsi" w:hAnsiTheme="minorHAnsi" w:cstheme="minorHAnsi"/>
          <w:bCs/>
          <w:color w:val="365F91"/>
          <w:sz w:val="22"/>
          <w:szCs w:val="22"/>
        </w:rPr>
      </w:pPr>
    </w:p>
    <w:p w14:paraId="030BEE7D" w14:textId="77777777" w:rsidR="00827008" w:rsidRPr="00747A6A" w:rsidRDefault="00827008" w:rsidP="00827008">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14:paraId="7BC8D78C" w14:textId="77777777" w:rsidR="00827008" w:rsidRPr="00747A6A" w:rsidRDefault="00827008" w:rsidP="00827008">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3020128"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5EF350A5"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769A01C"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6A3027A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546E8843"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2F6E5492"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14:paraId="36AF43E6"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7CCCA6BE"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5225BF35"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0D253B95"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86B891C"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0077EA0B"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14:paraId="135A4692"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14:paraId="095206B7"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14:paraId="2AD857E3" w14:textId="77777777" w:rsidR="00827008" w:rsidRPr="00747A6A" w:rsidRDefault="00827008" w:rsidP="00827008">
      <w:pPr>
        <w:ind w:hanging="284"/>
        <w:rPr>
          <w:rFonts w:asciiTheme="minorHAnsi" w:hAnsiTheme="minorHAnsi" w:cstheme="minorHAnsi"/>
          <w:sz w:val="22"/>
          <w:szCs w:val="22"/>
        </w:rPr>
      </w:pPr>
    </w:p>
    <w:p w14:paraId="48B0608A" w14:textId="77777777" w:rsidR="00827008" w:rsidRPr="00747A6A" w:rsidRDefault="00827008" w:rsidP="00827008">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14:paraId="317471C0" w14:textId="77777777" w:rsidR="00827008" w:rsidRPr="00747A6A" w:rsidRDefault="00827008" w:rsidP="00AD173E">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 xml:space="preserve">podľa časti č. </w:t>
      </w:r>
      <w:r w:rsidR="005F4DBD">
        <w:rPr>
          <w:rFonts w:asciiTheme="minorHAnsi" w:hAnsiTheme="minorHAnsi" w:cstheme="minorHAnsi"/>
          <w:b/>
          <w:sz w:val="22"/>
          <w:szCs w:val="22"/>
        </w:rPr>
        <w:t>4</w:t>
      </w:r>
      <w:r w:rsidRPr="00747A6A">
        <w:rPr>
          <w:rFonts w:asciiTheme="minorHAnsi" w:hAnsiTheme="minorHAnsi" w:cstheme="minorHAnsi"/>
          <w:b/>
          <w:sz w:val="22"/>
          <w:szCs w:val="22"/>
        </w:rPr>
        <w:t xml:space="preserve"> „oprav</w:t>
      </w:r>
      <w:r w:rsidR="005F4DBD">
        <w:rPr>
          <w:rFonts w:asciiTheme="minorHAnsi" w:hAnsiTheme="minorHAnsi" w:cstheme="minorHAnsi"/>
          <w:b/>
          <w:sz w:val="22"/>
          <w:szCs w:val="22"/>
        </w:rPr>
        <w:t>a</w:t>
      </w:r>
      <w:r w:rsidRPr="00747A6A">
        <w:rPr>
          <w:rFonts w:asciiTheme="minorHAnsi" w:hAnsiTheme="minorHAnsi" w:cstheme="minorHAnsi"/>
          <w:b/>
          <w:sz w:val="22"/>
          <w:szCs w:val="22"/>
        </w:rPr>
        <w:t xml:space="preserve"> podvozku TATRA T815 EURO II </w:t>
      </w:r>
      <w:r w:rsidR="005F4DBD">
        <w:rPr>
          <w:rFonts w:asciiTheme="minorHAnsi" w:hAnsiTheme="minorHAnsi" w:cstheme="minorHAnsi"/>
          <w:b/>
          <w:sz w:val="22"/>
          <w:szCs w:val="22"/>
        </w:rPr>
        <w:t xml:space="preserve">260S43 19 255 4x4.1 </w:t>
      </w:r>
      <w:r w:rsidRPr="00747A6A">
        <w:rPr>
          <w:rFonts w:asciiTheme="minorHAnsi" w:hAnsiTheme="minorHAnsi" w:cstheme="minorHAnsi"/>
          <w:b/>
          <w:sz w:val="22"/>
          <w:szCs w:val="22"/>
        </w:rPr>
        <w:t>v počte 1 ks“ (ďalej iba aj ako „verejné obstarávanie“ )</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14:paraId="5B3CAC37"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41A78F2D"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542C78FA"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492A0189"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6B89C221" w14:textId="77777777" w:rsidR="00827008"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1EE95245" w14:textId="77777777" w:rsidR="00A435EC" w:rsidRPr="00747A6A" w:rsidRDefault="00A435EC" w:rsidP="00A435EC">
      <w:pPr>
        <w:pStyle w:val="Odsekzoznamu"/>
        <w:widowControl/>
        <w:ind w:left="76"/>
        <w:contextualSpacing/>
        <w:jc w:val="both"/>
        <w:rPr>
          <w:rFonts w:asciiTheme="minorHAnsi" w:hAnsiTheme="minorHAnsi" w:cstheme="minorHAnsi"/>
          <w:sz w:val="22"/>
          <w:szCs w:val="22"/>
        </w:rPr>
      </w:pPr>
    </w:p>
    <w:p w14:paraId="7805D24B" w14:textId="77777777" w:rsidR="00827008" w:rsidRPr="00747A6A" w:rsidRDefault="00827008" w:rsidP="00827008">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14:paraId="12616E0D" w14:textId="77777777" w:rsidR="00827008" w:rsidRPr="00747A6A" w:rsidRDefault="00827008" w:rsidP="00827008">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14:paraId="3EC7A44B" w14:textId="77777777" w:rsidR="00827008" w:rsidRPr="00747A6A" w:rsidRDefault="00827008" w:rsidP="00827008">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0BF6943C" w14:textId="77777777" w:rsidR="00827008" w:rsidRDefault="00827008" w:rsidP="00827008">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0DA1841D" w14:textId="77777777" w:rsidR="00A435EC" w:rsidRPr="00747A6A" w:rsidRDefault="00A435EC" w:rsidP="00A435EC">
      <w:pPr>
        <w:pStyle w:val="Odsekzoznamu"/>
        <w:widowControl/>
        <w:suppressAutoHyphens/>
        <w:snapToGrid w:val="0"/>
        <w:ind w:left="142"/>
        <w:jc w:val="both"/>
        <w:rPr>
          <w:rFonts w:asciiTheme="minorHAnsi" w:hAnsiTheme="minorHAnsi" w:cstheme="minorHAnsi"/>
          <w:sz w:val="22"/>
          <w:szCs w:val="22"/>
        </w:rPr>
      </w:pPr>
    </w:p>
    <w:p w14:paraId="0855F680" w14:textId="77777777"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14:paraId="64DE352F" w14:textId="77777777"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14:paraId="3BAB3E1E" w14:textId="77777777" w:rsidR="00827008" w:rsidRPr="00C956F5" w:rsidRDefault="00827008" w:rsidP="00827008">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14:paraId="337AC9E9" w14:textId="77777777" w:rsidR="00C956F5" w:rsidRPr="00C956F5" w:rsidRDefault="00827008" w:rsidP="00C956F5">
      <w:pPr>
        <w:pStyle w:val="Zarkazkladnhotextu2"/>
        <w:spacing w:line="288" w:lineRule="auto"/>
        <w:rPr>
          <w:rFonts w:asciiTheme="minorHAnsi" w:hAnsiTheme="minorHAnsi" w:cs="Arial"/>
          <w:sz w:val="22"/>
          <w:szCs w:val="22"/>
        </w:rPr>
      </w:pPr>
      <w:r w:rsidRPr="00C956F5">
        <w:rPr>
          <w:rFonts w:asciiTheme="minorHAnsi" w:hAnsiTheme="minorHAnsi" w:cstheme="minorHAnsi"/>
          <w:color w:val="auto"/>
          <w:sz w:val="22"/>
          <w:szCs w:val="22"/>
        </w:rPr>
        <w:t xml:space="preserve">Dielom sa na účely Zmluvy rozumie </w:t>
      </w:r>
      <w:r w:rsidR="00C956F5" w:rsidRPr="00C956F5">
        <w:rPr>
          <w:rFonts w:asciiTheme="minorHAnsi" w:hAnsiTheme="minorHAnsi" w:cs="Arial"/>
          <w:sz w:val="22"/>
          <w:szCs w:val="22"/>
        </w:rPr>
        <w:t xml:space="preserve">vykonanie opravy podvozku 1 kusu nákladného motorového vozidla TATRA T815 EURO II 260S43 19 255 4 x 4.1 (EČV VK710AA) v minimálne nasledovnom rozsahu: </w:t>
      </w:r>
    </w:p>
    <w:p w14:paraId="08A0AE4A" w14:textId="77777777" w:rsidR="00C956F5" w:rsidRPr="00C956F5" w:rsidRDefault="00C956F5" w:rsidP="00C956F5">
      <w:pPr>
        <w:pStyle w:val="Bezriadkovania"/>
        <w:spacing w:line="288" w:lineRule="auto"/>
        <w:ind w:left="1134"/>
        <w:rPr>
          <w:rFonts w:asciiTheme="minorHAnsi" w:hAnsiTheme="minorHAnsi" w:cstheme="minorHAnsi"/>
          <w:sz w:val="22"/>
          <w:szCs w:val="22"/>
        </w:rPr>
      </w:pPr>
      <w:r w:rsidRPr="00C956F5">
        <w:rPr>
          <w:rFonts w:asciiTheme="minorHAnsi" w:hAnsiTheme="minorHAnsi" w:cstheme="minorHAnsi"/>
          <w:i/>
          <w:sz w:val="22"/>
          <w:szCs w:val="22"/>
          <w:u w:val="single"/>
        </w:rPr>
        <w:t>Oprava podvozku:</w:t>
      </w:r>
    </w:p>
    <w:p w14:paraId="174AFAAB"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 xml:space="preserve">celková GO riadenia (prevod riadenia, čapy, tiahla riadenia, </w:t>
      </w:r>
      <w:proofErr w:type="spellStart"/>
      <w:r w:rsidRPr="00C956F5">
        <w:rPr>
          <w:rFonts w:asciiTheme="minorHAnsi" w:hAnsiTheme="minorHAnsi" w:cstheme="minorHAnsi"/>
          <w:sz w:val="22"/>
          <w:szCs w:val="22"/>
        </w:rPr>
        <w:t>servovalec</w:t>
      </w:r>
      <w:proofErr w:type="spellEnd"/>
      <w:r w:rsidRPr="00C956F5">
        <w:rPr>
          <w:rFonts w:asciiTheme="minorHAnsi" w:hAnsiTheme="minorHAnsi" w:cstheme="minorHAnsi"/>
          <w:sz w:val="22"/>
          <w:szCs w:val="22"/>
        </w:rPr>
        <w:t xml:space="preserve"> a </w:t>
      </w:r>
      <w:proofErr w:type="spellStart"/>
      <w:r w:rsidRPr="00C956F5">
        <w:rPr>
          <w:rFonts w:asciiTheme="minorHAnsi" w:hAnsiTheme="minorHAnsi" w:cstheme="minorHAnsi"/>
          <w:sz w:val="22"/>
          <w:szCs w:val="22"/>
        </w:rPr>
        <w:t>posilovač</w:t>
      </w:r>
      <w:proofErr w:type="spellEnd"/>
      <w:r w:rsidRPr="00C956F5">
        <w:rPr>
          <w:rFonts w:asciiTheme="minorHAnsi" w:hAnsiTheme="minorHAnsi" w:cstheme="minorHAnsi"/>
          <w:sz w:val="22"/>
          <w:szCs w:val="22"/>
        </w:rPr>
        <w:t xml:space="preserve"> riadenia)</w:t>
      </w:r>
    </w:p>
    <w:p w14:paraId="327F24EC"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 xml:space="preserve">celková GO brzdovej sústavy (obloženie bŕzd, brzdové valce, brzdové bubny, kľúče brzdy, ovládače </w:t>
      </w:r>
      <w:proofErr w:type="spellStart"/>
      <w:r w:rsidRPr="00C956F5">
        <w:rPr>
          <w:rFonts w:asciiTheme="minorHAnsi" w:hAnsiTheme="minorHAnsi" w:cstheme="minorHAnsi"/>
          <w:sz w:val="22"/>
          <w:szCs w:val="22"/>
        </w:rPr>
        <w:t>perrot</w:t>
      </w:r>
      <w:proofErr w:type="spellEnd"/>
      <w:r w:rsidRPr="00C956F5">
        <w:rPr>
          <w:rFonts w:asciiTheme="minorHAnsi" w:hAnsiTheme="minorHAnsi" w:cstheme="minorHAnsi"/>
          <w:sz w:val="22"/>
          <w:szCs w:val="22"/>
        </w:rPr>
        <w:t>, páky brzdy)</w:t>
      </w:r>
    </w:p>
    <w:p w14:paraId="52B8516B"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14:paraId="04184DFE"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nastavenie geometrie vozidla</w:t>
      </w:r>
    </w:p>
    <w:p w14:paraId="3374ADC4" w14:textId="77777777" w:rsidR="00C956F5" w:rsidRPr="00C956F5" w:rsidRDefault="00C956F5" w:rsidP="00AD173E">
      <w:pPr>
        <w:pStyle w:val="Odsekzoznamu"/>
        <w:widowControl/>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bCs/>
          <w:sz w:val="22"/>
          <w:szCs w:val="22"/>
        </w:rPr>
        <w:t>kompletná demontáž, montáž, zapojenie, odskúšanie a kontrola vozidla</w:t>
      </w:r>
    </w:p>
    <w:p w14:paraId="1E3AFD4A"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u w:val="single"/>
        </w:rPr>
        <w:t>zabezpečenie a vykonanie STK a EK vozidla</w:t>
      </w:r>
    </w:p>
    <w:p w14:paraId="5813C57D" w14:textId="77777777" w:rsidR="00827008" w:rsidRPr="00747A6A" w:rsidRDefault="00827008" w:rsidP="00C956F5">
      <w:pPr>
        <w:pStyle w:val="Zarkazkladnhotextu2"/>
        <w:spacing w:line="240" w:lineRule="auto"/>
        <w:ind w:left="0"/>
        <w:rPr>
          <w:rFonts w:asciiTheme="minorHAnsi" w:hAnsiTheme="minorHAnsi" w:cstheme="minorHAnsi"/>
          <w:sz w:val="22"/>
          <w:szCs w:val="22"/>
        </w:rPr>
      </w:pPr>
      <w:r w:rsidRPr="00747A6A">
        <w:rPr>
          <w:rFonts w:asciiTheme="minorHAnsi" w:hAnsiTheme="minorHAnsi" w:cstheme="minorHAnsi"/>
          <w:sz w:val="22"/>
          <w:szCs w:val="22"/>
        </w:rPr>
        <w:t xml:space="preserve"> (ďalej článok II. ods. 1 Zmluvy iba „Dielo“ alebo „predmet opravy“), </w:t>
      </w:r>
    </w:p>
    <w:p w14:paraId="098C42CD" w14:textId="77777777" w:rsidR="00827008" w:rsidRPr="00747A6A" w:rsidRDefault="00827008" w:rsidP="00827008">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64EB65A6" w14:textId="77777777" w:rsidR="00827008" w:rsidRPr="00747A6A" w:rsidRDefault="00827008" w:rsidP="00827008">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w:t>
      </w:r>
      <w:r w:rsidRPr="00747A6A">
        <w:rPr>
          <w:rFonts w:asciiTheme="minorHAnsi" w:hAnsiTheme="minorHAnsi" w:cstheme="minorHAnsi"/>
          <w:sz w:val="22"/>
          <w:szCs w:val="22"/>
        </w:rPr>
        <w:lastRenderedPageBreak/>
        <w:t xml:space="preserve">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14:paraId="35A76D78" w14:textId="77777777" w:rsidR="00827008" w:rsidRPr="00747A6A" w:rsidRDefault="00827008" w:rsidP="00827008">
      <w:pPr>
        <w:ind w:firstLine="360"/>
        <w:jc w:val="both"/>
        <w:rPr>
          <w:rFonts w:asciiTheme="minorHAnsi" w:hAnsiTheme="minorHAnsi" w:cstheme="minorHAnsi"/>
          <w:noProof/>
          <w:sz w:val="22"/>
          <w:szCs w:val="22"/>
        </w:rPr>
      </w:pPr>
    </w:p>
    <w:p w14:paraId="731F581A" w14:textId="77777777" w:rsidR="00827008" w:rsidRPr="00747A6A" w:rsidRDefault="00827008" w:rsidP="00827008">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14:paraId="1483D08A"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14:paraId="1FE3F19C"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14:paraId="06B8BF59" w14:textId="77777777"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14:paraId="78916C5B" w14:textId="77777777" w:rsidR="00827008" w:rsidRDefault="00827008" w:rsidP="00AD173E">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14:paraId="0A84CAFB" w14:textId="77777777" w:rsidR="00574206" w:rsidRPr="007E32DC" w:rsidRDefault="00574206" w:rsidP="00574206">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01225310" w14:textId="77777777" w:rsidR="00827008" w:rsidRPr="00747A6A" w:rsidRDefault="00827008" w:rsidP="00AD173E">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D120C1">
        <w:rPr>
          <w:rStyle w:val="CharStyle11"/>
          <w:rFonts w:asciiTheme="minorHAnsi" w:hAnsiTheme="minorHAnsi" w:cstheme="minorHAnsi"/>
          <w:b w:val="0"/>
          <w:sz w:val="22"/>
          <w:szCs w:val="22"/>
        </w:rPr>
        <w:t>Zhotovením (Vykonaním) Diela sa na účely Zmluvy rozumie včasné, bezchybné, vecne správne a úplné</w:t>
      </w:r>
      <w:r w:rsidRPr="00747A6A">
        <w:rPr>
          <w:rStyle w:val="CharStyle11"/>
          <w:rFonts w:asciiTheme="minorHAnsi" w:hAnsiTheme="minorHAnsi" w:cstheme="minorHAnsi"/>
          <w:b w:val="0"/>
          <w:sz w:val="22"/>
          <w:szCs w:val="22"/>
        </w:rPr>
        <w:t xml:space="preserve">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1CD93281"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14:paraId="5373405A"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14:paraId="07789899" w14:textId="77777777" w:rsidR="00827008" w:rsidRPr="00747A6A" w:rsidRDefault="00827008" w:rsidP="00AD173E">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AD173E">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AD173E">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14:paraId="3882E3EC"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106EB35F" w14:textId="77777777"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14:paraId="01E406CD" w14:textId="77777777" w:rsidR="00827008" w:rsidRPr="00747A6A" w:rsidRDefault="00827008" w:rsidP="00AD173E">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14:paraId="23E59E4C"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14:paraId="3AF68974"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14:paraId="1F03E855"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73F4B967"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14:paraId="0E798AEC"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14:paraId="67D345CA"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14:paraId="2F295038"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14:paraId="5EF73528"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14:paraId="4CBF1DF1" w14:textId="77777777"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5AEC7B4B" w14:textId="77777777"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proofErr w:type="spellStart"/>
      <w:r w:rsidRPr="00747A6A">
        <w:rPr>
          <w:rFonts w:asciiTheme="minorHAnsi" w:hAnsiTheme="minorHAnsi" w:cstheme="minorHAnsi"/>
          <w:sz w:val="22"/>
          <w:szCs w:val="22"/>
          <w:lang w:eastAsia="cs-CZ"/>
        </w:rPr>
        <w:t>hotoviteľa</w:t>
      </w:r>
      <w:proofErr w:type="spellEnd"/>
      <w:r w:rsidRPr="00747A6A">
        <w:rPr>
          <w:rFonts w:asciiTheme="minorHAnsi" w:hAnsiTheme="minorHAnsi" w:cstheme="minorHAnsi"/>
          <w:sz w:val="22"/>
          <w:szCs w:val="22"/>
          <w:lang w:eastAsia="cs-CZ"/>
        </w:rPr>
        <w:t>:</w:t>
      </w:r>
    </w:p>
    <w:p w14:paraId="3D42D6CB"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48370ED3"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14:paraId="03408FC5"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5ED8273F"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25667BF3"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14:paraId="67ADDE82" w14:textId="7AA851D2" w:rsidR="00827008" w:rsidRPr="00747A6A" w:rsidRDefault="00827008" w:rsidP="00827008">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objednávateľovi zmluvnú pokutu vo výške 200 € za každý začatý deň omeškania s plnením povinnosti ku každému predmetu opravy zvlášť a za každé jednotlivé porušenie povinností uvedených v tomto ods. 1</w:t>
      </w:r>
      <w:r w:rsidR="00612ABD">
        <w:rPr>
          <w:rFonts w:asciiTheme="minorHAnsi" w:hAnsiTheme="minorHAnsi" w:cstheme="minorHAnsi"/>
          <w:sz w:val="22"/>
          <w:szCs w:val="22"/>
          <w:lang w:eastAsia="cs-CZ"/>
        </w:rPr>
        <w:t>2</w:t>
      </w:r>
      <w:r w:rsidRPr="00747A6A">
        <w:rPr>
          <w:rFonts w:asciiTheme="minorHAnsi" w:hAnsiTheme="minorHAnsi" w:cstheme="minorHAnsi"/>
          <w:sz w:val="22"/>
          <w:szCs w:val="22"/>
          <w:lang w:eastAsia="cs-CZ"/>
        </w:rPr>
        <w:t xml:space="preserve"> článku III. Zmluvy zvlášť.  </w:t>
      </w:r>
    </w:p>
    <w:p w14:paraId="143E1B23" w14:textId="2657D216"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Zmluvné strany považujú výšku dohodnutých zmluvných pokút uvedených v ods. 1</w:t>
      </w:r>
      <w:r w:rsidR="00612ABD">
        <w:rPr>
          <w:rFonts w:asciiTheme="minorHAnsi" w:hAnsiTheme="minorHAnsi" w:cstheme="minorHAnsi"/>
          <w:sz w:val="22"/>
          <w:szCs w:val="22"/>
        </w:rPr>
        <w:t>2</w:t>
      </w:r>
      <w:r w:rsidRPr="00747A6A">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14:paraId="2DA3D57F" w14:textId="77777777"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0142436E" w14:textId="77777777" w:rsidR="00827008" w:rsidRPr="00747A6A" w:rsidRDefault="00827008" w:rsidP="00827008">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14:paraId="662181B7"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14:paraId="2E7A3082" w14:textId="77777777" w:rsidR="00827008" w:rsidRPr="00747A6A" w:rsidRDefault="00827008" w:rsidP="00827008">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14:paraId="20A3C72A" w14:textId="77777777" w:rsidR="00827008" w:rsidRPr="00747A6A" w:rsidRDefault="00827008" w:rsidP="00AD173E">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461C6B3A" w14:textId="77777777" w:rsidR="00827008" w:rsidRPr="00747A6A" w:rsidRDefault="00827008" w:rsidP="00827008">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14:paraId="4B4A6929" w14:textId="77777777" w:rsidR="00827008" w:rsidRPr="00747A6A" w:rsidRDefault="00827008" w:rsidP="00827008">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14:paraId="00B1229D" w14:textId="77777777" w:rsidR="00827008" w:rsidRPr="00747A6A" w:rsidRDefault="00827008" w:rsidP="00827008">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14:paraId="268996E9" w14:textId="77777777" w:rsidR="00827008" w:rsidRPr="00747A6A" w:rsidRDefault="00827008" w:rsidP="00827008">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14:paraId="076F3321" w14:textId="77777777" w:rsidR="00827008" w:rsidRPr="00747A6A" w:rsidRDefault="00827008" w:rsidP="00827008">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14:paraId="500926BB" w14:textId="77777777"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14:paraId="0A1FBCCD" w14:textId="77777777"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p>
    <w:p w14:paraId="7E9AACA1" w14:textId="77777777" w:rsidR="00827008" w:rsidRPr="00747A6A" w:rsidRDefault="00827008" w:rsidP="00AD173E">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14:paraId="0EDDAA7B" w14:textId="77777777"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14:paraId="68E1EC40"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14:paraId="3E313C9A"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14:paraId="01EEA243"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14:paraId="3AD38E4D" w14:textId="77777777"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14:paraId="6106EF06"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620C9BDC"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14:paraId="18C4293B"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386E7BE6"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193FAA1" w14:textId="77777777" w:rsidR="00827008" w:rsidRPr="00747A6A" w:rsidRDefault="00827008" w:rsidP="00827008">
      <w:pPr>
        <w:rPr>
          <w:rFonts w:asciiTheme="minorHAnsi" w:hAnsiTheme="minorHAnsi" w:cstheme="minorHAnsi"/>
          <w:b/>
          <w:sz w:val="22"/>
          <w:szCs w:val="22"/>
        </w:rPr>
      </w:pPr>
    </w:p>
    <w:p w14:paraId="25029E53"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14:paraId="70809398"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14:paraId="0FAB1177" w14:textId="77777777"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30C9B901" w14:textId="77777777" w:rsidR="00827008" w:rsidRPr="00747A6A" w:rsidRDefault="00827008" w:rsidP="00AD173E">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14:paraId="45CB2CBC" w14:textId="77777777"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1E800C2E" w14:textId="77777777" w:rsidR="00827008" w:rsidRPr="00747A6A" w:rsidRDefault="00827008" w:rsidP="00AD173E">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315FF90F" w14:textId="77777777"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49E27EB4" w14:textId="77777777" w:rsidR="00827008" w:rsidRPr="00747A6A" w:rsidRDefault="00827008" w:rsidP="00AD173E">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11239975" w14:textId="77777777" w:rsidR="00827008" w:rsidRPr="00747A6A" w:rsidRDefault="00827008" w:rsidP="00AD173E">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1DC2DDB8" w14:textId="77777777" w:rsidR="00827008" w:rsidRPr="00747A6A" w:rsidRDefault="00827008" w:rsidP="00AD173E">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29E75CF6" wp14:editId="2BE61C2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425A" w14:textId="77777777" w:rsidR="00827008" w:rsidRDefault="00827008" w:rsidP="0082700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75CF6"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F5E425A" w14:textId="77777777" w:rsidR="00827008" w:rsidRDefault="00827008" w:rsidP="00827008">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w:t>
      </w:r>
      <w:proofErr w:type="spellStart"/>
      <w:r w:rsidRPr="00747A6A">
        <w:rPr>
          <w:rStyle w:val="CharStyle36"/>
          <w:rFonts w:asciiTheme="minorHAnsi" w:hAnsiTheme="minorHAnsi" w:cstheme="minorHAnsi"/>
          <w:sz w:val="22"/>
          <w:szCs w:val="22"/>
        </w:rPr>
        <w:t>závada</w:t>
      </w:r>
      <w:proofErr w:type="spellEnd"/>
      <w:r w:rsidRPr="00747A6A">
        <w:rPr>
          <w:rStyle w:val="CharStyle36"/>
          <w:rFonts w:asciiTheme="minorHAnsi" w:hAnsiTheme="minorHAnsi" w:cstheme="minorHAnsi"/>
          <w:sz w:val="22"/>
          <w:szCs w:val="22"/>
        </w:rPr>
        <w:t xml:space="preserve">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proofErr w:type="spellStart"/>
      <w:r w:rsidRPr="00747A6A">
        <w:rPr>
          <w:rStyle w:val="CharStyle36"/>
          <w:rFonts w:asciiTheme="minorHAnsi" w:hAnsiTheme="minorHAnsi" w:cstheme="minorHAnsi"/>
          <w:sz w:val="22"/>
          <w:szCs w:val="22"/>
        </w:rPr>
        <w:t>iela</w:t>
      </w:r>
      <w:proofErr w:type="spellEnd"/>
      <w:r w:rsidRPr="00747A6A">
        <w:rPr>
          <w:rStyle w:val="CharStyle36"/>
          <w:rFonts w:asciiTheme="minorHAnsi" w:hAnsiTheme="minorHAnsi" w:cstheme="minorHAnsi"/>
          <w:sz w:val="22"/>
          <w:szCs w:val="22"/>
        </w:rPr>
        <w:t xml:space="preserve">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 xml:space="preserve">Vylúčené sú však opravy súčastí Diela poškodených v dôsledku </w:t>
      </w:r>
      <w:proofErr w:type="spellStart"/>
      <w:r w:rsidRPr="00747A6A">
        <w:rPr>
          <w:rFonts w:asciiTheme="minorHAnsi" w:hAnsiTheme="minorHAnsi" w:cstheme="minorHAnsi"/>
          <w:color w:val="auto"/>
          <w:sz w:val="22"/>
          <w:szCs w:val="22"/>
        </w:rPr>
        <w:t>abnormného</w:t>
      </w:r>
      <w:proofErr w:type="spellEnd"/>
      <w:r w:rsidRPr="00747A6A">
        <w:rPr>
          <w:rFonts w:asciiTheme="minorHAnsi" w:hAnsiTheme="minorHAnsi" w:cstheme="minorHAnsi"/>
          <w:color w:val="auto"/>
          <w:sz w:val="22"/>
          <w:szCs w:val="22"/>
        </w:rPr>
        <w:t xml:space="preserve">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57C0A8DE" w14:textId="77777777"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151B425D" w14:textId="77777777" w:rsidR="00827008" w:rsidRPr="00747A6A" w:rsidRDefault="00827008" w:rsidP="00AD173E">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14:paraId="51CDAAF9" w14:textId="77777777" w:rsidR="00827008" w:rsidRPr="00747A6A" w:rsidRDefault="00827008" w:rsidP="00AD173E">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14:paraId="5A24ED58" w14:textId="77777777" w:rsidR="00827008" w:rsidRPr="00747A6A" w:rsidRDefault="00827008" w:rsidP="00827008">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14:paraId="55B22F78" w14:textId="77777777" w:rsidR="00827008" w:rsidRPr="00747A6A" w:rsidRDefault="00827008" w:rsidP="00827008">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14:paraId="2FD3FB04" w14:textId="77777777" w:rsidR="00827008" w:rsidRPr="00747A6A" w:rsidRDefault="00827008" w:rsidP="00AD173E">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w:t>
      </w:r>
      <w:r w:rsidRPr="00747A6A">
        <w:rPr>
          <w:rFonts w:asciiTheme="minorHAnsi" w:hAnsiTheme="minorHAnsi" w:cstheme="minorHAnsi"/>
          <w:sz w:val="22"/>
          <w:szCs w:val="22"/>
          <w:lang w:eastAsia="cs-CZ"/>
        </w:rPr>
        <w:lastRenderedPageBreak/>
        <w:t xml:space="preserve">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14:paraId="72519BEC" w14:textId="77777777"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p>
    <w:p w14:paraId="3FD793E9" w14:textId="77777777"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14:paraId="4C523021" w14:textId="77777777" w:rsidR="00827008" w:rsidRPr="00747A6A" w:rsidRDefault="00827008" w:rsidP="00827008">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14:paraId="080D3DB4" w14:textId="77777777" w:rsidR="00827008" w:rsidRPr="00747A6A" w:rsidRDefault="00827008" w:rsidP="00AD173E">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7F04E273"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sidR="00DD7A63">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14:paraId="79706197"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sidR="00DD7A63">
        <w:rPr>
          <w:rFonts w:asciiTheme="minorHAnsi" w:hAnsiTheme="minorHAnsi" w:cstheme="minorHAnsi"/>
          <w:sz w:val="22"/>
          <w:szCs w:val="22"/>
          <w:lang w:eastAsia="cs-CZ"/>
        </w:rPr>
        <w:t>1</w:t>
      </w:r>
      <w:r w:rsidRPr="00747A6A">
        <w:rPr>
          <w:rFonts w:asciiTheme="minorHAnsi" w:hAnsiTheme="minorHAnsi" w:cstheme="minorHAnsi"/>
          <w:sz w:val="22"/>
          <w:szCs w:val="22"/>
          <w:lang w:eastAsia="cs-CZ"/>
        </w:rPr>
        <w:t xml:space="preserve">5 dní, </w:t>
      </w:r>
    </w:p>
    <w:p w14:paraId="675CDBF5"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706F3AD1"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14:paraId="76304495"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34C3EE42"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B9823A1"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769BC687"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511C3096"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4180DAF6"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075CDB80" w14:textId="77777777" w:rsidR="00827008" w:rsidRPr="00747A6A" w:rsidRDefault="00827008" w:rsidP="00AD173E">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105D5F98"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929167E"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6850DC87" w14:textId="77777777"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14:paraId="01291172" w14:textId="77777777"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14:paraId="1F8EF332" w14:textId="77777777" w:rsidR="00827008" w:rsidRPr="00747A6A" w:rsidRDefault="00827008" w:rsidP="00827008">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14:paraId="4A148228" w14:textId="77777777" w:rsidR="00827008" w:rsidRPr="00747A6A" w:rsidRDefault="00827008" w:rsidP="00827008">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14:paraId="0FD21855"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w:t>
      </w:r>
      <w:r w:rsidRPr="00747A6A">
        <w:rPr>
          <w:rFonts w:asciiTheme="minorHAnsi" w:hAnsiTheme="minorHAnsi" w:cstheme="minorHAnsi"/>
          <w:color w:val="auto"/>
          <w:sz w:val="22"/>
          <w:szCs w:val="22"/>
        </w:rPr>
        <w:lastRenderedPageBreak/>
        <w:t xml:space="preserve">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14:paraId="09FC1DF1" w14:textId="77777777"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14:paraId="28156EB5"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A435EC">
        <w:rPr>
          <w:rFonts w:asciiTheme="minorHAnsi" w:hAnsiTheme="minorHAnsi" w:cstheme="minorHAnsi"/>
          <w:color w:val="auto"/>
          <w:sz w:val="22"/>
          <w:szCs w:val="22"/>
        </w:rPr>
        <w:t xml:space="preserve">be oprávnenej konať </w:t>
      </w:r>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14:paraId="5944EC85" w14:textId="77777777"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44329131"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14:paraId="62F8EDB3"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14:paraId="02C3D142"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14:paraId="2D3F93AA"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14:paraId="7B10AD8F" w14:textId="77777777" w:rsidR="00827008" w:rsidRPr="00747A6A" w:rsidRDefault="00827008" w:rsidP="00827008">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14:paraId="49DF3EC2"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14:paraId="14778367"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14:paraId="25DF1346" w14:textId="77777777" w:rsidR="0042140F" w:rsidRPr="0042140F" w:rsidRDefault="00827008" w:rsidP="0042140F">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A435EC">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14:paraId="08BAEB2D" w14:textId="09A1F921" w:rsidR="0042140F" w:rsidRPr="0042140F" w:rsidRDefault="0042140F" w:rsidP="0042140F">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42140F">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2D286A8B" w14:textId="77777777" w:rsidR="00827008" w:rsidRPr="00747A6A" w:rsidRDefault="00827008" w:rsidP="00827008">
      <w:pPr>
        <w:pStyle w:val="Odsekzoznamu"/>
        <w:autoSpaceDE w:val="0"/>
        <w:autoSpaceDN w:val="0"/>
        <w:ind w:left="426" w:right="105"/>
        <w:jc w:val="both"/>
        <w:rPr>
          <w:rFonts w:asciiTheme="minorHAnsi" w:hAnsiTheme="minorHAnsi" w:cstheme="minorHAnsi"/>
          <w:b/>
          <w:color w:val="auto"/>
          <w:sz w:val="22"/>
          <w:szCs w:val="22"/>
        </w:rPr>
      </w:pPr>
    </w:p>
    <w:p w14:paraId="028C2D6B" w14:textId="77777777"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lastRenderedPageBreak/>
        <w:t>IX.</w:t>
      </w:r>
    </w:p>
    <w:p w14:paraId="56B709F5" w14:textId="77777777"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14:paraId="4705DCAA"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A435EC">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46EF3C60"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747A6A">
        <w:rPr>
          <w:rFonts w:asciiTheme="minorHAnsi" w:hAnsiTheme="minorHAnsi" w:cstheme="minorHAnsi"/>
          <w:color w:val="auto"/>
          <w:sz w:val="22"/>
          <w:szCs w:val="22"/>
          <w:shd w:val="clear" w:color="auto" w:fill="FFFFFF"/>
        </w:rPr>
        <w:t>koronavírusom</w:t>
      </w:r>
      <w:proofErr w:type="spellEnd"/>
      <w:r w:rsidRPr="00747A6A">
        <w:rPr>
          <w:rFonts w:asciiTheme="minorHAnsi" w:hAnsiTheme="minorHAnsi" w:cstheme="minorHAnsi"/>
          <w:color w:val="auto"/>
          <w:sz w:val="22"/>
          <w:szCs w:val="22"/>
          <w:shd w:val="clear" w:color="auto" w:fill="FFFFFF"/>
        </w:rPr>
        <w:t xml:space="preserve">,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62EC07D0"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13F4A7B5" w14:textId="77777777" w:rsidR="00827008" w:rsidRPr="00747A6A" w:rsidRDefault="00827008" w:rsidP="00AD173E">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14:paraId="2BD288DF"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14:paraId="46D99CBE"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14:paraId="255EF4AD"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14:paraId="46DD478C"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320E9044"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A435EC">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A435EC">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14:paraId="73C14256"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14:paraId="581AE1F0"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1A5AA867"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Vraz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22FB46B2"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1CD3D4E3"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Vraz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059AC11D"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Vraz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CEF354D" w14:textId="77777777" w:rsidR="00827008" w:rsidRPr="00747A6A" w:rsidRDefault="00827008" w:rsidP="00827008">
      <w:pPr>
        <w:spacing w:after="120"/>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14:paraId="1FDC948E" w14:textId="77777777" w:rsidR="00827008" w:rsidRPr="00747A6A" w:rsidRDefault="00827008" w:rsidP="00827008">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14:paraId="6C3BCD4C"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D3FC1E9"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21FEF7AA"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lastRenderedPageBreak/>
        <w:t>Táto zmluva je vyhotovená v dvoch rovnopisoch, pre každú zmluvnú stranu po jednom vyhotovení.</w:t>
      </w:r>
    </w:p>
    <w:p w14:paraId="4D6FFD70"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5C5A92DE" w14:textId="77777777" w:rsidR="00827008" w:rsidRPr="00747A6A" w:rsidRDefault="00827008" w:rsidP="00AD173E">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19C13F0B" w14:textId="77777777" w:rsidR="00827008" w:rsidRPr="00747A6A" w:rsidRDefault="00827008" w:rsidP="00AD173E">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14:paraId="259C4E28"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86F211B"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A55FB13"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F8DE1E4"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w:t>
      </w:r>
      <w:proofErr w:type="spellStart"/>
      <w:r w:rsidRPr="00747A6A">
        <w:rPr>
          <w:rFonts w:asciiTheme="minorHAnsi" w:hAnsiTheme="minorHAnsi" w:cstheme="minorHAnsi"/>
          <w:sz w:val="22"/>
          <w:szCs w:val="22"/>
        </w:rPr>
        <w:t>nevynútiteľnosť</w:t>
      </w:r>
      <w:proofErr w:type="spellEnd"/>
      <w:r w:rsidRPr="00747A6A">
        <w:rPr>
          <w:rFonts w:asciiTheme="minorHAnsi" w:hAnsiTheme="minorHAnsi" w:cstheme="minorHAns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11FC76F"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B32E4D5" w14:textId="77777777" w:rsidR="00827008" w:rsidRPr="00747A6A" w:rsidRDefault="00827008" w:rsidP="00AD173E">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1A81B4CB"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7D019B7F"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14:paraId="41B7497A"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F8AAE5B"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V prípade, ak bude podľa tejto Zmluvy potrebné doručovať inej zmluvnej strane akúkoľvek písomnosť, doručuje sa táto písomnosť na adresu zmluvnej strany uvedenú v záhlaví tejto zmluvy, dokiaľ nie je zmena </w:t>
      </w:r>
      <w:r w:rsidRPr="00747A6A">
        <w:rPr>
          <w:rFonts w:asciiTheme="minorHAnsi" w:hAnsiTheme="minorHAnsi" w:cstheme="minorHAnsi"/>
          <w:sz w:val="22"/>
          <w:szCs w:val="22"/>
          <w:lang w:eastAsia="cs-CZ"/>
        </w:rPr>
        <w:lastRenderedPageBreak/>
        <w:t>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764F9526" w14:textId="77777777" w:rsidR="00827008" w:rsidRPr="00747A6A" w:rsidRDefault="00827008" w:rsidP="00AD173E">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14:paraId="6619C691" w14:textId="77777777"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A435EC">
        <w:rPr>
          <w:rFonts w:asciiTheme="minorHAnsi" w:hAnsiTheme="minorHAnsi" w:cstheme="minorHAnsi"/>
          <w:sz w:val="22"/>
          <w:szCs w:val="22"/>
          <w:lang w:eastAsia="cs-CZ"/>
        </w:rPr>
        <w:t>cia ceny z ponuky  zhotoviteľa/Návrh na plnenie kritéria</w:t>
      </w:r>
    </w:p>
    <w:p w14:paraId="05E39AF2" w14:textId="77777777"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14:paraId="07BBE978" w14:textId="77777777" w:rsidR="00827008" w:rsidRPr="00747A6A" w:rsidRDefault="00827008" w:rsidP="00827008">
      <w:pPr>
        <w:tabs>
          <w:tab w:val="left" w:pos="426"/>
        </w:tabs>
        <w:jc w:val="both"/>
        <w:rPr>
          <w:rFonts w:asciiTheme="minorHAnsi" w:hAnsiTheme="minorHAnsi" w:cstheme="minorHAnsi"/>
          <w:sz w:val="22"/>
          <w:szCs w:val="22"/>
          <w:lang w:eastAsia="cs-CZ"/>
        </w:rPr>
      </w:pPr>
    </w:p>
    <w:p w14:paraId="4EF852DF" w14:textId="77777777" w:rsidR="00827008" w:rsidRPr="00747A6A" w:rsidRDefault="00827008" w:rsidP="00827008">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14:paraId="27900A48" w14:textId="77777777" w:rsidR="00827008" w:rsidRPr="00747A6A" w:rsidRDefault="00827008" w:rsidP="00827008">
      <w:pPr>
        <w:rPr>
          <w:rFonts w:asciiTheme="minorHAnsi" w:hAnsiTheme="minorHAnsi" w:cstheme="minorHAnsi"/>
          <w:b/>
          <w:sz w:val="22"/>
          <w:szCs w:val="22"/>
          <w:lang w:eastAsia="cs-CZ"/>
        </w:rPr>
      </w:pPr>
    </w:p>
    <w:p w14:paraId="5BE73AC1" w14:textId="77777777" w:rsidR="00827008" w:rsidRPr="00747A6A" w:rsidRDefault="00827008" w:rsidP="00827008">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14:paraId="50C5ECB5" w14:textId="77777777" w:rsidR="00827008" w:rsidRPr="00747A6A" w:rsidRDefault="00827008" w:rsidP="00827008">
      <w:pPr>
        <w:tabs>
          <w:tab w:val="left" w:pos="4500"/>
          <w:tab w:val="left" w:pos="4962"/>
        </w:tabs>
        <w:spacing w:after="120"/>
        <w:rPr>
          <w:rFonts w:asciiTheme="minorHAnsi" w:hAnsiTheme="minorHAnsi" w:cstheme="minorHAnsi"/>
          <w:sz w:val="22"/>
          <w:szCs w:val="22"/>
          <w:lang w:eastAsia="cs-CZ"/>
        </w:rPr>
      </w:pPr>
    </w:p>
    <w:p w14:paraId="5416B97D"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14:paraId="06D6D32B"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14:paraId="7A6FDB87"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14:paraId="3045D21D"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 xml:space="preserve">Banskobystrickej regionálnej správy ciest, </w:t>
      </w:r>
      <w:proofErr w:type="spellStart"/>
      <w:r w:rsidRPr="00827008">
        <w:rPr>
          <w:rStyle w:val="CharStyle8"/>
          <w:rFonts w:asciiTheme="minorHAnsi" w:hAnsiTheme="minorHAnsi" w:cstheme="minorHAnsi"/>
          <w:b w:val="0"/>
        </w:rPr>
        <w:t>a.s</w:t>
      </w:r>
      <w:proofErr w:type="spellEnd"/>
      <w:r w:rsidRPr="00827008">
        <w:rPr>
          <w:rStyle w:val="CharStyle8"/>
          <w:rFonts w:asciiTheme="minorHAnsi" w:hAnsiTheme="minorHAnsi" w:cstheme="minorHAnsi"/>
          <w:b w:val="0"/>
        </w:rPr>
        <w:t>.</w:t>
      </w:r>
    </w:p>
    <w:p w14:paraId="019A76FC"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14:paraId="1DD349DC"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14:paraId="4DC54C1F" w14:textId="77777777" w:rsidR="00827008" w:rsidRPr="00747A6A" w:rsidRDefault="00827008" w:rsidP="00827008">
      <w:pPr>
        <w:pStyle w:val="Bezriadkovania"/>
        <w:rPr>
          <w:rStyle w:val="CharStyle8"/>
          <w:rFonts w:asciiTheme="minorHAnsi" w:hAnsiTheme="minorHAnsi" w:cstheme="minorHAnsi"/>
          <w:b w:val="0"/>
        </w:rPr>
      </w:pPr>
    </w:p>
    <w:p w14:paraId="25062661" w14:textId="77777777" w:rsidR="00827008" w:rsidRPr="00747A6A" w:rsidRDefault="00827008" w:rsidP="00827008">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14:paraId="77FB229D" w14:textId="77777777" w:rsidR="00827008" w:rsidRPr="00747A6A" w:rsidRDefault="00827008" w:rsidP="00827008">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 xml:space="preserve">Mgr. Nikoleta </w:t>
      </w:r>
      <w:proofErr w:type="spellStart"/>
      <w:r w:rsidRPr="00747A6A">
        <w:rPr>
          <w:rFonts w:asciiTheme="minorHAnsi" w:hAnsiTheme="minorHAnsi" w:cstheme="minorHAnsi"/>
          <w:b/>
          <w:color w:val="auto"/>
          <w:sz w:val="22"/>
          <w:szCs w:val="22"/>
        </w:rPr>
        <w:t>Oktavcová</w:t>
      </w:r>
      <w:proofErr w:type="spellEnd"/>
    </w:p>
    <w:p w14:paraId="786BD6E5" w14:textId="77777777" w:rsidR="00827008" w:rsidRPr="00747A6A" w:rsidRDefault="00827008" w:rsidP="00827008">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14:paraId="5C2004C1" w14:textId="77777777" w:rsidR="00827008" w:rsidRPr="00827008" w:rsidRDefault="00827008" w:rsidP="00827008">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 xml:space="preserve">Banskobystrickej regionálnej správy ciest, </w:t>
      </w:r>
      <w:proofErr w:type="spellStart"/>
      <w:r w:rsidRPr="00827008">
        <w:rPr>
          <w:rStyle w:val="CharStyle8"/>
          <w:rFonts w:asciiTheme="minorHAnsi" w:hAnsiTheme="minorHAnsi" w:cstheme="minorHAnsi"/>
          <w:b w:val="0"/>
        </w:rPr>
        <w:t>a.s</w:t>
      </w:r>
      <w:proofErr w:type="spellEnd"/>
      <w:r w:rsidRPr="00827008">
        <w:rPr>
          <w:rStyle w:val="CharStyle8"/>
          <w:rFonts w:asciiTheme="minorHAnsi" w:hAnsiTheme="minorHAnsi" w:cstheme="minorHAnsi"/>
          <w:b w:val="0"/>
        </w:rPr>
        <w:t>.</w:t>
      </w:r>
    </w:p>
    <w:p w14:paraId="536339CD" w14:textId="77777777" w:rsidR="00827008" w:rsidRPr="00747A6A" w:rsidRDefault="00827008" w:rsidP="00827008">
      <w:pPr>
        <w:rPr>
          <w:rFonts w:asciiTheme="minorHAnsi" w:hAnsiTheme="minorHAnsi" w:cstheme="minorHAnsi"/>
          <w:sz w:val="22"/>
          <w:szCs w:val="22"/>
        </w:rPr>
      </w:pPr>
    </w:p>
    <w:p w14:paraId="20AD5793" w14:textId="77777777" w:rsidR="00827008" w:rsidRPr="00747A6A" w:rsidRDefault="00827008" w:rsidP="00827008">
      <w:pPr>
        <w:rPr>
          <w:rFonts w:asciiTheme="minorHAnsi" w:hAnsiTheme="minorHAnsi" w:cstheme="minorHAnsi"/>
          <w:sz w:val="22"/>
          <w:szCs w:val="22"/>
        </w:rPr>
      </w:pPr>
    </w:p>
    <w:p w14:paraId="35055DAC" w14:textId="77777777"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F683" w14:textId="77777777" w:rsidR="00B00389" w:rsidRDefault="00B00389">
      <w:r>
        <w:separator/>
      </w:r>
    </w:p>
  </w:endnote>
  <w:endnote w:type="continuationSeparator" w:id="0">
    <w:p w14:paraId="275CA327" w14:textId="77777777" w:rsidR="00B00389" w:rsidRDefault="00B0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D946" w14:textId="77777777" w:rsidR="00AE2DA1" w:rsidRDefault="00AD173E">
    <w:pPr>
      <w:rPr>
        <w:color w:val="auto"/>
        <w:sz w:val="2"/>
        <w:szCs w:val="2"/>
      </w:rPr>
    </w:pPr>
    <w:r>
      <w:rPr>
        <w:noProof/>
      </w:rPr>
      <mc:AlternateContent>
        <mc:Choice Requires="wps">
          <w:drawing>
            <wp:anchor distT="0" distB="0" distL="63500" distR="63500" simplePos="0" relativeHeight="251659264" behindDoc="1" locked="0" layoutInCell="1" allowOverlap="1" wp14:anchorId="75C61C9D" wp14:editId="4C449D9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52C8" w14:textId="77777777" w:rsidR="00AE2DA1" w:rsidRDefault="00B00389">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61C9D"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4FD352C8" w14:textId="77777777" w:rsidR="00AE2DA1" w:rsidRDefault="00B0038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9B04" w14:textId="77777777" w:rsidR="00B00389" w:rsidRDefault="00B00389">
      <w:r>
        <w:separator/>
      </w:r>
    </w:p>
  </w:footnote>
  <w:footnote w:type="continuationSeparator" w:id="0">
    <w:p w14:paraId="07F3A2C9" w14:textId="77777777" w:rsidR="00B00389" w:rsidRDefault="00B0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4FB6E8DE" w14:textId="77777777" w:rsidR="00AE2DA1" w:rsidRDefault="00AD173E">
        <w:pPr>
          <w:pStyle w:val="Hlavika"/>
        </w:pPr>
        <w:r>
          <w:rPr>
            <w:noProof/>
          </w:rPr>
          <mc:AlternateContent>
            <mc:Choice Requires="wps">
              <w:drawing>
                <wp:anchor distT="0" distB="0" distL="114300" distR="114300" simplePos="0" relativeHeight="251660288" behindDoc="0" locked="0" layoutInCell="0" allowOverlap="1" wp14:anchorId="50E00CEA" wp14:editId="3E5C4B6B">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36D01" w14:textId="77777777" w:rsidR="00AE2DA1" w:rsidRDefault="00AD173E">
                              <w:pPr>
                                <w:pBdr>
                                  <w:bottom w:val="single" w:sz="4" w:space="1" w:color="auto"/>
                                </w:pBdr>
                              </w:pPr>
                              <w:r>
                                <w:fldChar w:fldCharType="begin"/>
                              </w:r>
                              <w:r>
                                <w:instrText>PAGE   \* MERGEFORMAT</w:instrText>
                              </w:r>
                              <w:r>
                                <w:fldChar w:fldCharType="separate"/>
                              </w:r>
                              <w:r w:rsidR="00612ABD">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0E00CEA"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51B36D01" w14:textId="77777777" w:rsidR="00AE2DA1" w:rsidRDefault="00AD173E">
                        <w:pPr>
                          <w:pBdr>
                            <w:bottom w:val="single" w:sz="4" w:space="1" w:color="auto"/>
                          </w:pBdr>
                        </w:pPr>
                        <w:r>
                          <w:fldChar w:fldCharType="begin"/>
                        </w:r>
                        <w:r>
                          <w:instrText>PAGE   \* MERGEFORMAT</w:instrText>
                        </w:r>
                        <w:r>
                          <w:fldChar w:fldCharType="separate"/>
                        </w:r>
                        <w:r w:rsidR="00612ABD">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7"/>
  </w:num>
  <w:num w:numId="6">
    <w:abstractNumId w:val="2"/>
  </w:num>
  <w:num w:numId="7">
    <w:abstractNumId w:val="0"/>
  </w:num>
  <w:num w:numId="8">
    <w:abstractNumId w:val="12"/>
  </w:num>
  <w:num w:numId="9">
    <w:abstractNumId w:val="8"/>
  </w:num>
  <w:num w:numId="10">
    <w:abstractNumId w:val="14"/>
  </w:num>
  <w:num w:numId="11">
    <w:abstractNumId w:val="3"/>
  </w:num>
  <w:num w:numId="12">
    <w:abstractNumId w:val="5"/>
  </w:num>
  <w:num w:numId="13">
    <w:abstractNumId w:val="4"/>
  </w:num>
  <w:num w:numId="14">
    <w:abstractNumId w:val="9"/>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8"/>
    <w:rsid w:val="002801BA"/>
    <w:rsid w:val="0042140F"/>
    <w:rsid w:val="004C17B1"/>
    <w:rsid w:val="005377AE"/>
    <w:rsid w:val="00574206"/>
    <w:rsid w:val="005F4DBD"/>
    <w:rsid w:val="00612ABD"/>
    <w:rsid w:val="00613635"/>
    <w:rsid w:val="00745F9E"/>
    <w:rsid w:val="00827008"/>
    <w:rsid w:val="00A435EC"/>
    <w:rsid w:val="00AD173E"/>
    <w:rsid w:val="00B00389"/>
    <w:rsid w:val="00C956F5"/>
    <w:rsid w:val="00D120C1"/>
    <w:rsid w:val="00DB378E"/>
    <w:rsid w:val="00DD7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ED9E"/>
  <w15:chartTrackingRefBased/>
  <w15:docId w15:val="{DA32D0E5-33E4-4A1A-9C77-AAC2A988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8270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827008"/>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7008"/>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827008"/>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827008"/>
    <w:rPr>
      <w:rFonts w:ascii="Arial" w:hAnsi="Arial" w:cs="Arial"/>
      <w:b/>
      <w:bCs/>
      <w:sz w:val="19"/>
      <w:szCs w:val="19"/>
      <w:u w:val="none"/>
    </w:rPr>
  </w:style>
  <w:style w:type="character" w:customStyle="1" w:styleId="CharStyle9">
    <w:name w:val="Char Style 9"/>
    <w:basedOn w:val="Predvolenpsmoodseku"/>
    <w:link w:val="Style8"/>
    <w:uiPriority w:val="99"/>
    <w:locked/>
    <w:rsid w:val="00827008"/>
    <w:rPr>
      <w:rFonts w:ascii="Arial" w:hAnsi="Arial" w:cs="Arial"/>
      <w:b/>
      <w:bCs/>
      <w:sz w:val="28"/>
      <w:szCs w:val="28"/>
      <w:shd w:val="clear" w:color="auto" w:fill="FFFFFF"/>
    </w:rPr>
  </w:style>
  <w:style w:type="paragraph" w:customStyle="1" w:styleId="Style8">
    <w:name w:val="Style 8"/>
    <w:basedOn w:val="Normlny"/>
    <w:link w:val="CharStyle9"/>
    <w:uiPriority w:val="99"/>
    <w:rsid w:val="0082700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827008"/>
    <w:rPr>
      <w:rFonts w:ascii="Arial" w:hAnsi="Arial" w:cs="Arial"/>
      <w:sz w:val="19"/>
      <w:szCs w:val="19"/>
      <w:shd w:val="clear" w:color="auto" w:fill="FFFFFF"/>
    </w:rPr>
  </w:style>
  <w:style w:type="paragraph" w:customStyle="1" w:styleId="Style2">
    <w:name w:val="Style 2"/>
    <w:basedOn w:val="Normlny"/>
    <w:link w:val="CharStyle10"/>
    <w:uiPriority w:val="99"/>
    <w:rsid w:val="0082700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827008"/>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827008"/>
    <w:rPr>
      <w:rFonts w:ascii="Arial" w:hAnsi="Arial" w:cs="Arial"/>
      <w:b/>
      <w:bCs/>
      <w:shd w:val="clear" w:color="auto" w:fill="FFFFFF"/>
    </w:rPr>
  </w:style>
  <w:style w:type="paragraph" w:customStyle="1" w:styleId="Style12">
    <w:name w:val="Style 12"/>
    <w:basedOn w:val="Normlny"/>
    <w:link w:val="CharStyle13"/>
    <w:uiPriority w:val="99"/>
    <w:rsid w:val="0082700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827008"/>
    <w:rPr>
      <w:rFonts w:ascii="Arial" w:hAnsi="Arial" w:cs="Arial"/>
      <w:b/>
      <w:bCs/>
      <w:sz w:val="19"/>
      <w:szCs w:val="19"/>
      <w:shd w:val="clear" w:color="auto" w:fill="FFFFFF"/>
    </w:rPr>
  </w:style>
  <w:style w:type="paragraph" w:customStyle="1" w:styleId="Style6">
    <w:name w:val="Style 6"/>
    <w:basedOn w:val="Normlny"/>
    <w:link w:val="CharStyle14"/>
    <w:uiPriority w:val="99"/>
    <w:rsid w:val="00827008"/>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827008"/>
    <w:rPr>
      <w:rFonts w:ascii="Arial" w:hAnsi="Arial" w:cs="Arial"/>
      <w:sz w:val="17"/>
      <w:szCs w:val="17"/>
      <w:shd w:val="clear" w:color="auto" w:fill="FFFFFF"/>
    </w:rPr>
  </w:style>
  <w:style w:type="paragraph" w:customStyle="1" w:styleId="Style16">
    <w:name w:val="Style 16"/>
    <w:basedOn w:val="Normlny"/>
    <w:link w:val="CharStyle17"/>
    <w:uiPriority w:val="99"/>
    <w:rsid w:val="00827008"/>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827008"/>
    <w:rPr>
      <w:rFonts w:ascii="Arial" w:hAnsi="Arial" w:cs="Arial"/>
      <w:b/>
      <w:bCs/>
      <w:sz w:val="22"/>
      <w:szCs w:val="22"/>
      <w:u w:val="none"/>
    </w:rPr>
  </w:style>
  <w:style w:type="character" w:customStyle="1" w:styleId="CharStyle37">
    <w:name w:val="Char Style 37"/>
    <w:basedOn w:val="Predvolenpsmoodseku"/>
    <w:link w:val="Style25"/>
    <w:uiPriority w:val="99"/>
    <w:locked/>
    <w:rsid w:val="00827008"/>
    <w:rPr>
      <w:rFonts w:ascii="Arial" w:hAnsi="Arial" w:cs="Arial"/>
      <w:b/>
      <w:bCs/>
      <w:shd w:val="clear" w:color="auto" w:fill="FFFFFF"/>
    </w:rPr>
  </w:style>
  <w:style w:type="paragraph" w:customStyle="1" w:styleId="Style25">
    <w:name w:val="Style 25"/>
    <w:basedOn w:val="Normlny"/>
    <w:link w:val="CharStyle37"/>
    <w:uiPriority w:val="99"/>
    <w:rsid w:val="0082700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827008"/>
    <w:rPr>
      <w:rFonts w:ascii="Arial" w:hAnsi="Arial" w:cs="Arial"/>
      <w:b/>
      <w:bCs/>
      <w:shd w:val="clear" w:color="auto" w:fill="FFFFFF"/>
    </w:rPr>
  </w:style>
  <w:style w:type="paragraph" w:customStyle="1" w:styleId="Style47">
    <w:name w:val="Style 47"/>
    <w:basedOn w:val="Normlny"/>
    <w:link w:val="CharStyle48"/>
    <w:uiPriority w:val="99"/>
    <w:rsid w:val="00827008"/>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827008"/>
    <w:pPr>
      <w:ind w:left="708"/>
    </w:pPr>
  </w:style>
  <w:style w:type="character" w:customStyle="1" w:styleId="OdsekzoznamuChar">
    <w:name w:val="Odsek zoznamu Char"/>
    <w:aliases w:val="body Char,Odsek zoznamu2 Char,List Paragraph Char,Odsek Char"/>
    <w:link w:val="Odsekzoznamu"/>
    <w:uiPriority w:val="34"/>
    <w:qFormat/>
    <w:rsid w:val="00827008"/>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827008"/>
    <w:rPr>
      <w:rFonts w:cs="Times New Roman"/>
      <w:color w:val="0563C1"/>
      <w:u w:val="single"/>
    </w:rPr>
  </w:style>
  <w:style w:type="paragraph" w:styleId="Hlavika">
    <w:name w:val="header"/>
    <w:basedOn w:val="Normlny"/>
    <w:link w:val="HlavikaChar"/>
    <w:uiPriority w:val="99"/>
    <w:unhideWhenUsed/>
    <w:rsid w:val="00827008"/>
    <w:pPr>
      <w:tabs>
        <w:tab w:val="center" w:pos="4536"/>
        <w:tab w:val="right" w:pos="9072"/>
      </w:tabs>
    </w:pPr>
  </w:style>
  <w:style w:type="character" w:customStyle="1" w:styleId="HlavikaChar">
    <w:name w:val="Hlavička Char"/>
    <w:basedOn w:val="Predvolenpsmoodseku"/>
    <w:link w:val="Hlavika"/>
    <w:uiPriority w:val="99"/>
    <w:rsid w:val="00827008"/>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27008"/>
    <w:rPr>
      <w:rFonts w:cs="Times New Roman"/>
      <w:sz w:val="21"/>
      <w:szCs w:val="21"/>
      <w:u w:val="none"/>
    </w:rPr>
  </w:style>
  <w:style w:type="character" w:customStyle="1" w:styleId="CharStyle18Exact">
    <w:name w:val="Char Style 18 Exact"/>
    <w:basedOn w:val="Predvolenpsmoodseku"/>
    <w:link w:val="Style17"/>
    <w:uiPriority w:val="99"/>
    <w:locked/>
    <w:rsid w:val="00827008"/>
    <w:rPr>
      <w:rFonts w:cs="Times New Roman"/>
      <w:b/>
      <w:bCs/>
      <w:i/>
      <w:iCs/>
      <w:sz w:val="32"/>
      <w:szCs w:val="32"/>
      <w:shd w:val="clear" w:color="auto" w:fill="FFFFFF"/>
    </w:rPr>
  </w:style>
  <w:style w:type="paragraph" w:customStyle="1" w:styleId="Style17">
    <w:name w:val="Style 17"/>
    <w:basedOn w:val="Normlny"/>
    <w:link w:val="CharStyle18Exact"/>
    <w:uiPriority w:val="99"/>
    <w:rsid w:val="00827008"/>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827008"/>
    <w:rPr>
      <w:rFonts w:cs="Times New Roman"/>
      <w:sz w:val="21"/>
      <w:szCs w:val="21"/>
      <w:shd w:val="clear" w:color="auto" w:fill="FFFFFF"/>
    </w:rPr>
  </w:style>
  <w:style w:type="paragraph" w:customStyle="1" w:styleId="Style5">
    <w:name w:val="Style 5"/>
    <w:basedOn w:val="Normlny"/>
    <w:link w:val="CharStyle30"/>
    <w:uiPriority w:val="99"/>
    <w:rsid w:val="00827008"/>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827008"/>
    <w:pPr>
      <w:widowControl/>
      <w:spacing w:after="120"/>
    </w:pPr>
    <w:rPr>
      <w:color w:val="auto"/>
      <w:lang w:eastAsia="en-US"/>
    </w:rPr>
  </w:style>
  <w:style w:type="character" w:customStyle="1" w:styleId="ZkladntextChar">
    <w:name w:val="Základný text Char"/>
    <w:basedOn w:val="Predvolenpsmoodseku"/>
    <w:link w:val="Zkladntext"/>
    <w:rsid w:val="00827008"/>
    <w:rPr>
      <w:rFonts w:ascii="Times New Roman" w:eastAsia="Times New Roman" w:hAnsi="Times New Roman" w:cs="Times New Roman"/>
      <w:sz w:val="24"/>
      <w:szCs w:val="24"/>
    </w:rPr>
  </w:style>
  <w:style w:type="paragraph" w:styleId="Pta">
    <w:name w:val="footer"/>
    <w:basedOn w:val="Normlny"/>
    <w:link w:val="PtaChar"/>
    <w:uiPriority w:val="99"/>
    <w:unhideWhenUsed/>
    <w:rsid w:val="00827008"/>
    <w:pPr>
      <w:tabs>
        <w:tab w:val="center" w:pos="4536"/>
        <w:tab w:val="right" w:pos="9072"/>
      </w:tabs>
    </w:pPr>
  </w:style>
  <w:style w:type="character" w:customStyle="1" w:styleId="PtaChar">
    <w:name w:val="Päta Char"/>
    <w:basedOn w:val="Predvolenpsmoodseku"/>
    <w:link w:val="Pta"/>
    <w:uiPriority w:val="99"/>
    <w:rsid w:val="00827008"/>
    <w:rPr>
      <w:rFonts w:ascii="Times New Roman" w:eastAsia="Times New Roman" w:hAnsi="Times New Roman" w:cs="Times New Roman"/>
      <w:color w:val="000000"/>
      <w:sz w:val="24"/>
      <w:szCs w:val="24"/>
      <w:lang w:eastAsia="sk-SK"/>
    </w:rPr>
  </w:style>
  <w:style w:type="paragraph" w:customStyle="1" w:styleId="Default">
    <w:name w:val="Default"/>
    <w:rsid w:val="00827008"/>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827008"/>
    <w:rPr>
      <w:rFonts w:ascii="Arial" w:hAnsi="Arial" w:cs="Arial"/>
      <w:u w:val="none"/>
    </w:rPr>
  </w:style>
  <w:style w:type="character" w:customStyle="1" w:styleId="CharStyle5">
    <w:name w:val="Char Style 5"/>
    <w:basedOn w:val="Predvolenpsmoodseku"/>
    <w:link w:val="Style4"/>
    <w:uiPriority w:val="99"/>
    <w:rsid w:val="00827008"/>
    <w:rPr>
      <w:rFonts w:ascii="Arial" w:hAnsi="Arial" w:cs="Arial"/>
      <w:b/>
      <w:bCs/>
      <w:shd w:val="clear" w:color="auto" w:fill="FFFFFF"/>
    </w:rPr>
  </w:style>
  <w:style w:type="paragraph" w:customStyle="1" w:styleId="Style4">
    <w:name w:val="Style 4"/>
    <w:basedOn w:val="Normlny"/>
    <w:link w:val="CharStyle5"/>
    <w:uiPriority w:val="99"/>
    <w:rsid w:val="00827008"/>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827008"/>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827008"/>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8270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7008"/>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827008"/>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827008"/>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82700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27008"/>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827008"/>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82700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827008"/>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827008"/>
    <w:rPr>
      <w:rFonts w:cs="Times New Roman"/>
      <w:b/>
      <w:bCs/>
      <w:sz w:val="21"/>
      <w:szCs w:val="21"/>
      <w:u w:val="none"/>
    </w:rPr>
  </w:style>
  <w:style w:type="character" w:customStyle="1" w:styleId="CharStyle20">
    <w:name w:val="Char Style 20"/>
    <w:link w:val="Style19"/>
    <w:uiPriority w:val="99"/>
    <w:locked/>
    <w:rsid w:val="00827008"/>
    <w:rPr>
      <w:b/>
      <w:shd w:val="clear" w:color="auto" w:fill="FFFFFF"/>
    </w:rPr>
  </w:style>
  <w:style w:type="paragraph" w:customStyle="1" w:styleId="Style19">
    <w:name w:val="Style 19"/>
    <w:basedOn w:val="Normlny"/>
    <w:link w:val="CharStyle20"/>
    <w:uiPriority w:val="99"/>
    <w:rsid w:val="0082700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827008"/>
    <w:rPr>
      <w:b/>
      <w:shd w:val="clear" w:color="auto" w:fill="FFFFFF"/>
    </w:rPr>
  </w:style>
  <w:style w:type="character" w:styleId="Odkaznakomentr">
    <w:name w:val="annotation reference"/>
    <w:basedOn w:val="Predvolenpsmoodseku"/>
    <w:uiPriority w:val="99"/>
    <w:semiHidden/>
    <w:unhideWhenUsed/>
    <w:rsid w:val="00827008"/>
    <w:rPr>
      <w:sz w:val="16"/>
      <w:szCs w:val="16"/>
    </w:rPr>
  </w:style>
  <w:style w:type="paragraph" w:styleId="Zarkazkladnhotextu">
    <w:name w:val="Body Text Indent"/>
    <w:basedOn w:val="Normlny"/>
    <w:link w:val="ZarkazkladnhotextuChar"/>
    <w:uiPriority w:val="99"/>
    <w:semiHidden/>
    <w:unhideWhenUsed/>
    <w:rsid w:val="00827008"/>
    <w:pPr>
      <w:spacing w:after="120"/>
      <w:ind w:left="283"/>
    </w:pPr>
  </w:style>
  <w:style w:type="character" w:customStyle="1" w:styleId="ZarkazkladnhotextuChar">
    <w:name w:val="Zarážka základného textu Char"/>
    <w:basedOn w:val="Predvolenpsmoodseku"/>
    <w:link w:val="Zarkazkladnhotextu"/>
    <w:uiPriority w:val="99"/>
    <w:semiHidden/>
    <w:rsid w:val="00827008"/>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827008"/>
    <w:rPr>
      <w:b/>
      <w:bCs/>
    </w:rPr>
  </w:style>
  <w:style w:type="paragraph" w:styleId="Obsah1">
    <w:name w:val="toc 1"/>
    <w:basedOn w:val="Normlny"/>
    <w:next w:val="Normlny"/>
    <w:autoRedefine/>
    <w:uiPriority w:val="99"/>
    <w:semiHidden/>
    <w:rsid w:val="00827008"/>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827008"/>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827008"/>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5951</Words>
  <Characters>33924</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dcterms:created xsi:type="dcterms:W3CDTF">2021-07-22T10:23:00Z</dcterms:created>
  <dcterms:modified xsi:type="dcterms:W3CDTF">2021-07-22T17:24:00Z</dcterms:modified>
</cp:coreProperties>
</file>