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7C2D3E42" w:rsidR="0030589C" w:rsidRPr="00B714F9" w:rsidRDefault="00C76D7A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B714F9">
              <w:rPr>
                <w:b/>
                <w:sz w:val="22"/>
                <w:szCs w:val="22"/>
              </w:rPr>
              <w:t xml:space="preserve">USG prístroj </w:t>
            </w:r>
            <w:proofErr w:type="spellStart"/>
            <w:r w:rsidRPr="00B714F9">
              <w:rPr>
                <w:b/>
                <w:sz w:val="22"/>
                <w:szCs w:val="22"/>
              </w:rPr>
              <w:t>premium</w:t>
            </w:r>
            <w:proofErr w:type="spellEnd"/>
            <w:r w:rsidRPr="00B714F9">
              <w:rPr>
                <w:b/>
                <w:sz w:val="22"/>
                <w:szCs w:val="22"/>
              </w:rPr>
              <w:t xml:space="preserve"> triedy pre kliniku gynekológie a pôrodníctva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299FBB37" w:rsidR="0030589C" w:rsidRPr="00430DAF" w:rsidRDefault="00C76D7A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430DAF">
              <w:rPr>
                <w:b/>
                <w:sz w:val="22"/>
                <w:szCs w:val="22"/>
              </w:rPr>
              <w:t xml:space="preserve">USG prístroj </w:t>
            </w:r>
            <w:proofErr w:type="spellStart"/>
            <w:r w:rsidRPr="00430DAF">
              <w:rPr>
                <w:b/>
                <w:sz w:val="22"/>
                <w:szCs w:val="22"/>
              </w:rPr>
              <w:t>premium</w:t>
            </w:r>
            <w:proofErr w:type="spellEnd"/>
            <w:r w:rsidRPr="00430DAF">
              <w:rPr>
                <w:b/>
                <w:sz w:val="22"/>
                <w:szCs w:val="22"/>
              </w:rPr>
              <w:t xml:space="preserve"> triedy pre kliniku gynekológie a pôrodníctva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430D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42</cp:revision>
  <cp:lastPrinted>2020-01-28T12:51:00Z</cp:lastPrinted>
  <dcterms:created xsi:type="dcterms:W3CDTF">2017-03-02T16:28:00Z</dcterms:created>
  <dcterms:modified xsi:type="dcterms:W3CDTF">2021-08-03T08:37:00Z</dcterms:modified>
</cp:coreProperties>
</file>