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B0521E">
        <w:rPr>
          <w:rFonts w:asciiTheme="minorHAnsi" w:hAnsiTheme="minorHAnsi" w:cstheme="minorHAnsi"/>
          <w:b/>
          <w:sz w:val="28"/>
          <w:szCs w:val="28"/>
        </w:rPr>
        <w:t xml:space="preserve">Farby </w:t>
      </w:r>
      <w:r w:rsidR="005B1370">
        <w:rPr>
          <w:rFonts w:asciiTheme="minorHAnsi" w:hAnsiTheme="minorHAnsi" w:cstheme="minorHAnsi"/>
          <w:b/>
          <w:sz w:val="28"/>
          <w:szCs w:val="28"/>
        </w:rPr>
        <w:t>a riedidlá</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C90843">
        <w:rPr>
          <w:rFonts w:asciiTheme="minorHAnsi" w:hAnsiTheme="minorHAnsi" w:cstheme="minorHAnsi"/>
          <w:sz w:val="20"/>
          <w:szCs w:val="20"/>
        </w:rPr>
        <w:t>september</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2511E4">
      <w:pPr>
        <w:pStyle w:val="Odsekzoznamu"/>
        <w:numPr>
          <w:ilvl w:val="0"/>
          <w:numId w:val="3"/>
        </w:numPr>
        <w:spacing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2511E4">
      <w:pPr>
        <w:pStyle w:val="Odsekzoznamu"/>
        <w:numPr>
          <w:ilvl w:val="1"/>
          <w:numId w:val="3"/>
        </w:numPr>
        <w:tabs>
          <w:tab w:val="left" w:pos="3969"/>
        </w:tabs>
        <w:spacing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511E4">
      <w:pPr>
        <w:tabs>
          <w:tab w:val="left" w:pos="3969"/>
        </w:tabs>
        <w:spacing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511E4">
      <w:pPr>
        <w:tabs>
          <w:tab w:val="left" w:pos="3969"/>
        </w:tabs>
        <w:spacing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B82BAD">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vedúci</w:t>
      </w:r>
      <w:r w:rsidR="00B82BAD">
        <w:rPr>
          <w:rFonts w:asciiTheme="minorHAnsi" w:hAnsiTheme="minorHAnsi" w:cstheme="minorHAnsi"/>
          <w:color w:val="auto"/>
          <w:sz w:val="20"/>
          <w:szCs w:val="20"/>
        </w:rPr>
        <w:t xml:space="preserve"> dopravy</w:t>
      </w:r>
      <w:r w:rsidR="00DB7459" w:rsidRPr="005C76C3">
        <w:rPr>
          <w:rFonts w:asciiTheme="minorHAnsi" w:hAnsiTheme="minorHAnsi" w:cstheme="minorHAnsi"/>
          <w:color w:val="auto"/>
          <w:sz w:val="20"/>
          <w:szCs w:val="20"/>
        </w:rPr>
        <w:t xml:space="preserve">, </w:t>
      </w:r>
    </w:p>
    <w:p w:rsidR="00D75D18"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B82BAD" w:rsidRPr="00503041">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B82BAD">
        <w:rPr>
          <w:rFonts w:asciiTheme="minorHAnsi" w:hAnsiTheme="minorHAnsi" w:cstheme="minorHAnsi"/>
          <w:color w:val="auto"/>
          <w:sz w:val="20"/>
          <w:szCs w:val="20"/>
        </w:rPr>
        <w:t>727</w:t>
      </w:r>
    </w:p>
    <w:p w:rsidR="00D32ADB" w:rsidRPr="005C76C3" w:rsidRDefault="00D32ADB" w:rsidP="002511E4">
      <w:pPr>
        <w:spacing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2511E4">
      <w:pPr>
        <w:pStyle w:val="Nadpis1"/>
        <w:numPr>
          <w:ilvl w:val="0"/>
          <w:numId w:val="3"/>
        </w:numPr>
        <w:spacing w:after="4"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B82BAD" w:rsidRPr="00B82BAD" w:rsidRDefault="0040213C" w:rsidP="00B82BAD">
      <w:pPr>
        <w:pStyle w:val="Bezriadkovania"/>
        <w:numPr>
          <w:ilvl w:val="1"/>
          <w:numId w:val="3"/>
        </w:numPr>
        <w:spacing w:after="4" w:line="288" w:lineRule="auto"/>
        <w:ind w:left="851" w:right="112" w:hanging="709"/>
        <w:jc w:val="both"/>
        <w:rPr>
          <w:rFonts w:asciiTheme="minorHAnsi" w:hAnsiTheme="minorHAnsi" w:cstheme="minorHAnsi"/>
          <w:color w:val="auto"/>
          <w:sz w:val="20"/>
          <w:szCs w:val="20"/>
        </w:rPr>
      </w:pPr>
      <w:r w:rsidRPr="00B82BAD">
        <w:rPr>
          <w:rFonts w:asciiTheme="minorHAnsi" w:hAnsiTheme="minorHAnsi" w:cstheme="minorHAnsi"/>
          <w:color w:val="auto"/>
          <w:sz w:val="20"/>
          <w:szCs w:val="20"/>
        </w:rPr>
        <w:t xml:space="preserve">Predmetom zákazky je priebežné dodanie nového tovaru v neporušených obaloch, a to </w:t>
      </w:r>
      <w:r w:rsidR="00B82BAD" w:rsidRPr="00B82BAD">
        <w:rPr>
          <w:rFonts w:asciiTheme="minorHAnsi" w:hAnsiTheme="minorHAnsi" w:cstheme="minorHAnsi"/>
          <w:color w:val="auto"/>
          <w:sz w:val="20"/>
        </w:rPr>
        <w:t>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Zároveň je predmetom zákazky dodanie riedidiel určených na riedenie syntetických a olejových náterových látok zasychajúcich na vzduchu</w:t>
      </w:r>
      <w:r w:rsidRPr="00B82BAD">
        <w:rPr>
          <w:rFonts w:asciiTheme="minorHAnsi" w:hAnsiTheme="minorHAnsi" w:cstheme="minorHAnsi"/>
          <w:color w:val="auto"/>
          <w:sz w:val="20"/>
          <w:szCs w:val="20"/>
        </w:rPr>
        <w:t>. Dodávka tovarov v dohodnutom čase, mieste a podľa ostatných podmienok je upravená v Rámcovej dohode (Príloha č. 2 tejto Výzvy) v rozsahu dodávok uvedených v špecifikácii (Príloha č. 3 tejto Výzvy).</w:t>
      </w:r>
    </w:p>
    <w:p w:rsidR="002511E4" w:rsidRPr="002511E4" w:rsidRDefault="002511E4"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 xml:space="preserve">Úspešný uchádzač je pred podpisom zmluvy v rámci poskytnutia riadnej súčinnosti potrebnej na uzatvorenie zmluvy povinný verejnému obstarávateľovi predložiť nasledovné dokumenty: </w:t>
      </w:r>
    </w:p>
    <w:p w:rsidR="002511E4" w:rsidRDefault="002511E4" w:rsidP="002511E4">
      <w:pPr>
        <w:pStyle w:val="Odsekzoznamu"/>
        <w:numPr>
          <w:ilvl w:val="0"/>
          <w:numId w:val="39"/>
        </w:numPr>
        <w:spacing w:line="288" w:lineRule="auto"/>
        <w:ind w:left="1276" w:hanging="425"/>
        <w:rPr>
          <w:rFonts w:asciiTheme="minorHAnsi" w:hAnsiTheme="minorHAnsi" w:cstheme="minorHAnsi"/>
          <w:sz w:val="20"/>
          <w:szCs w:val="20"/>
        </w:rPr>
      </w:pPr>
      <w:r w:rsidRPr="002511E4">
        <w:rPr>
          <w:rFonts w:asciiTheme="minorHAnsi" w:hAnsiTheme="minorHAnsi" w:cstheme="minorHAnsi"/>
          <w:b/>
          <w:i/>
          <w:sz w:val="20"/>
          <w:szCs w:val="20"/>
        </w:rPr>
        <w:t>Kartu bezpečnostných údajov</w:t>
      </w:r>
      <w:r w:rsidRPr="002511E4">
        <w:rPr>
          <w:rFonts w:asciiTheme="minorHAnsi" w:hAnsiTheme="minorHAnsi" w:cstheme="minorHAnsi"/>
          <w:sz w:val="20"/>
          <w:szCs w:val="20"/>
        </w:rPr>
        <w:t xml:space="preserve"> v</w:t>
      </w:r>
      <w:r w:rsidR="00665583">
        <w:rPr>
          <w:rFonts w:asciiTheme="minorHAnsi" w:hAnsiTheme="minorHAnsi" w:cstheme="minorHAnsi"/>
          <w:sz w:val="20"/>
          <w:szCs w:val="20"/>
        </w:rPr>
        <w:t> </w:t>
      </w:r>
      <w:r w:rsidRPr="002511E4">
        <w:rPr>
          <w:rFonts w:asciiTheme="minorHAnsi" w:hAnsiTheme="minorHAnsi" w:cstheme="minorHAnsi"/>
          <w:sz w:val="20"/>
          <w:szCs w:val="20"/>
        </w:rPr>
        <w:t>zmysle</w:t>
      </w:r>
      <w:r w:rsidR="00665583">
        <w:rPr>
          <w:rFonts w:asciiTheme="minorHAnsi" w:hAnsiTheme="minorHAnsi" w:cstheme="minorHAnsi"/>
          <w:sz w:val="20"/>
          <w:szCs w:val="20"/>
        </w:rPr>
        <w:t xml:space="preserve"> Nariadenia Komisie EÚ č. 830/2015</w:t>
      </w:r>
      <w:r w:rsidRPr="002511E4">
        <w:rPr>
          <w:rFonts w:asciiTheme="minorHAnsi" w:hAnsiTheme="minorHAnsi" w:cstheme="minorHAnsi"/>
          <w:sz w:val="20"/>
          <w:szCs w:val="20"/>
        </w:rPr>
        <w:t xml:space="preserve">, ktorým sa mení a dopĺňa nariadenie Európskeho parlamentu a Rady (ES) č. 1907/2006 o registrácii, hodnotení, autorizácii a obmedzovaní chemických látok (REACH) v slovenskom jazyku vo vzťahu k jednotlivým položkám predmetu zákazky uvedených v prílohe č. 3 Výzvy - Špecifikácia, </w:t>
      </w:r>
    </w:p>
    <w:p w:rsidR="00665583" w:rsidRPr="002511E4" w:rsidRDefault="00665583" w:rsidP="002511E4">
      <w:pPr>
        <w:pStyle w:val="Odsekzoznamu"/>
        <w:numPr>
          <w:ilvl w:val="0"/>
          <w:numId w:val="39"/>
        </w:numPr>
        <w:spacing w:line="288" w:lineRule="auto"/>
        <w:ind w:left="1276" w:hanging="425"/>
        <w:rPr>
          <w:rFonts w:asciiTheme="minorHAnsi" w:hAnsiTheme="minorHAnsi" w:cstheme="minorHAnsi"/>
          <w:sz w:val="20"/>
          <w:szCs w:val="20"/>
        </w:rPr>
      </w:pPr>
      <w:r>
        <w:rPr>
          <w:rFonts w:asciiTheme="minorHAnsi" w:hAnsiTheme="minorHAnsi" w:cstheme="minorHAnsi"/>
          <w:b/>
          <w:i/>
          <w:sz w:val="20"/>
          <w:szCs w:val="20"/>
        </w:rPr>
        <w:t>Technický list výrobku</w:t>
      </w:r>
    </w:p>
    <w:p w:rsidR="002F4419" w:rsidRPr="002511E4" w:rsidRDefault="002F4419"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Spoločný slovník obstarávania (CPV):</w:t>
      </w:r>
    </w:p>
    <w:p w:rsidR="00EC15B6" w:rsidRPr="00B82BAD" w:rsidRDefault="002F4419" w:rsidP="002511E4">
      <w:pPr>
        <w:tabs>
          <w:tab w:val="left" w:pos="3544"/>
        </w:tabs>
        <w:spacing w:line="288" w:lineRule="auto"/>
        <w:ind w:left="993" w:right="112" w:firstLine="0"/>
        <w:rPr>
          <w:rFonts w:asciiTheme="minorHAnsi" w:hAnsiTheme="minorHAnsi" w:cstheme="minorHAnsi"/>
          <w:bCs/>
          <w:color w:val="auto"/>
          <w:sz w:val="20"/>
          <w:szCs w:val="20"/>
        </w:rPr>
      </w:pPr>
      <w:r w:rsidRPr="00B82BAD">
        <w:rPr>
          <w:rFonts w:asciiTheme="minorHAnsi" w:hAnsiTheme="minorHAnsi" w:cstheme="minorHAnsi"/>
          <w:color w:val="auto"/>
          <w:sz w:val="20"/>
          <w:szCs w:val="20"/>
        </w:rPr>
        <w:t>Hlavný predmet:</w:t>
      </w:r>
      <w:r w:rsidR="000E08A3" w:rsidRPr="00B82BAD">
        <w:rPr>
          <w:rFonts w:asciiTheme="minorHAnsi" w:hAnsiTheme="minorHAnsi" w:cstheme="minorHAnsi"/>
          <w:color w:val="auto"/>
          <w:sz w:val="20"/>
          <w:szCs w:val="20"/>
        </w:rPr>
        <w:tab/>
      </w:r>
      <w:r w:rsidR="00B82BAD" w:rsidRPr="00B82BAD">
        <w:rPr>
          <w:rFonts w:asciiTheme="minorHAnsi" w:hAnsiTheme="minorHAnsi" w:cstheme="minorHAnsi"/>
          <w:color w:val="auto"/>
          <w:sz w:val="20"/>
          <w:szCs w:val="20"/>
        </w:rPr>
        <w:t>44812100-6</w:t>
      </w:r>
      <w:r w:rsidR="0040213C" w:rsidRPr="00B82BAD">
        <w:rPr>
          <w:rFonts w:asciiTheme="minorHAnsi" w:hAnsiTheme="minorHAnsi" w:cstheme="minorHAnsi"/>
          <w:bCs/>
          <w:color w:val="auto"/>
          <w:sz w:val="20"/>
          <w:szCs w:val="20"/>
        </w:rPr>
        <w:t xml:space="preserve">   </w:t>
      </w:r>
      <w:r w:rsidR="00B82BAD" w:rsidRPr="00B82BAD">
        <w:rPr>
          <w:rFonts w:asciiTheme="minorHAnsi" w:hAnsiTheme="minorHAnsi" w:cstheme="minorHAnsi"/>
          <w:bCs/>
          <w:color w:val="auto"/>
          <w:sz w:val="20"/>
          <w:szCs w:val="20"/>
        </w:rPr>
        <w:t>Emaily a glazúry</w:t>
      </w:r>
    </w:p>
    <w:p w:rsidR="00B82BAD" w:rsidRPr="00B82BAD" w:rsidRDefault="00B82BAD" w:rsidP="00B82BAD">
      <w:pPr>
        <w:shd w:val="clear" w:color="auto" w:fill="FFFFFF"/>
        <w:ind w:left="642" w:firstLine="351"/>
        <w:rPr>
          <w:rFonts w:asciiTheme="minorHAnsi" w:hAnsiTheme="minorHAnsi" w:cstheme="minorHAnsi"/>
          <w:color w:val="auto"/>
          <w:sz w:val="20"/>
          <w:szCs w:val="20"/>
        </w:rPr>
      </w:pPr>
      <w:r w:rsidRPr="00B82BAD">
        <w:rPr>
          <w:rFonts w:asciiTheme="minorHAnsi" w:hAnsiTheme="minorHAnsi" w:cstheme="minorHAnsi"/>
          <w:bCs/>
          <w:color w:val="auto"/>
          <w:sz w:val="20"/>
          <w:szCs w:val="20"/>
        </w:rPr>
        <w:t>Doplňujúci CPV kód:</w:t>
      </w:r>
      <w:r w:rsidRPr="00B82BAD">
        <w:rPr>
          <w:rFonts w:asciiTheme="minorHAnsi" w:hAnsiTheme="minorHAnsi" w:cstheme="minorHAnsi"/>
          <w:bCs/>
          <w:color w:val="auto"/>
          <w:sz w:val="20"/>
          <w:szCs w:val="20"/>
        </w:rPr>
        <w:tab/>
      </w:r>
      <w:r w:rsidRPr="00B82BAD">
        <w:rPr>
          <w:rFonts w:asciiTheme="minorHAnsi" w:hAnsiTheme="minorHAnsi" w:cstheme="minorHAnsi"/>
          <w:bCs/>
          <w:color w:val="auto"/>
          <w:sz w:val="20"/>
          <w:szCs w:val="20"/>
        </w:rPr>
        <w:tab/>
      </w:r>
      <w:r w:rsidRPr="00B82BAD">
        <w:rPr>
          <w:rFonts w:asciiTheme="minorHAnsi" w:hAnsiTheme="minorHAnsi" w:cstheme="minorHAnsi"/>
          <w:color w:val="auto"/>
          <w:sz w:val="20"/>
          <w:szCs w:val="20"/>
        </w:rPr>
        <w:t>44810000-1   Náterové farby</w:t>
      </w:r>
    </w:p>
    <w:p w:rsidR="00B82BAD" w:rsidRPr="00B82BAD" w:rsidRDefault="00B82BAD" w:rsidP="00B82BAD">
      <w:pPr>
        <w:shd w:val="clear" w:color="auto" w:fill="FFFFFF"/>
        <w:ind w:left="357"/>
        <w:rPr>
          <w:rFonts w:asciiTheme="minorHAnsi" w:hAnsiTheme="minorHAnsi" w:cstheme="minorHAnsi"/>
          <w:color w:val="auto"/>
          <w:sz w:val="20"/>
          <w:szCs w:val="20"/>
        </w:rPr>
      </w:pPr>
      <w:r w:rsidRPr="00B82BAD">
        <w:rPr>
          <w:rFonts w:asciiTheme="minorHAnsi" w:hAnsiTheme="minorHAnsi" w:cstheme="minorHAnsi"/>
          <w:color w:val="auto"/>
          <w:sz w:val="20"/>
          <w:szCs w:val="20"/>
        </w:rPr>
        <w:t xml:space="preserve">                                                       </w:t>
      </w:r>
      <w:r w:rsidRPr="00B82BAD">
        <w:rPr>
          <w:rFonts w:asciiTheme="minorHAnsi" w:hAnsiTheme="minorHAnsi" w:cstheme="minorHAnsi"/>
          <w:color w:val="auto"/>
          <w:sz w:val="20"/>
          <w:szCs w:val="20"/>
        </w:rPr>
        <w:tab/>
        <w:t>44832200-3   Riedidlá</w:t>
      </w:r>
    </w:p>
    <w:p w:rsidR="00B82BAD" w:rsidRDefault="00B82BAD" w:rsidP="00B82BAD">
      <w:pPr>
        <w:shd w:val="clear" w:color="auto" w:fill="FFFFFF"/>
        <w:ind w:left="357"/>
        <w:rPr>
          <w:rFonts w:asciiTheme="minorHAnsi" w:hAnsiTheme="minorHAnsi" w:cstheme="minorHAnsi"/>
          <w:color w:val="auto"/>
          <w:sz w:val="20"/>
          <w:szCs w:val="20"/>
        </w:rPr>
      </w:pPr>
      <w:r w:rsidRPr="00B82BAD">
        <w:rPr>
          <w:rFonts w:asciiTheme="minorHAnsi" w:hAnsiTheme="minorHAnsi" w:cstheme="minorHAnsi"/>
          <w:color w:val="auto"/>
          <w:sz w:val="20"/>
          <w:szCs w:val="20"/>
        </w:rPr>
        <w:t xml:space="preserve">                                                       </w:t>
      </w:r>
      <w:r w:rsidRPr="00B82BAD">
        <w:rPr>
          <w:rFonts w:asciiTheme="minorHAnsi" w:hAnsiTheme="minorHAnsi" w:cstheme="minorHAnsi"/>
          <w:color w:val="auto"/>
          <w:sz w:val="20"/>
          <w:szCs w:val="20"/>
        </w:rPr>
        <w:tab/>
        <w:t>44812220-3   Vodové farby</w:t>
      </w:r>
    </w:p>
    <w:p w:rsidR="00D32ADB" w:rsidRPr="00B82BAD" w:rsidRDefault="00D32ADB" w:rsidP="00B82BAD">
      <w:pPr>
        <w:shd w:val="clear" w:color="auto" w:fill="FFFFFF"/>
        <w:ind w:left="357"/>
        <w:rPr>
          <w:rFonts w:asciiTheme="minorHAnsi" w:hAnsiTheme="minorHAnsi" w:cstheme="minorHAnsi"/>
          <w:color w:val="auto"/>
          <w:sz w:val="20"/>
          <w:szCs w:val="20"/>
        </w:rPr>
      </w:pPr>
      <w:r w:rsidRPr="005C76C3">
        <w:rPr>
          <w:rFonts w:asciiTheme="minorHAnsi" w:hAnsiTheme="minorHAnsi" w:cstheme="minorHAnsi"/>
          <w:sz w:val="20"/>
          <w:szCs w:val="20"/>
        </w:rPr>
        <w:tab/>
      </w:r>
      <w:r w:rsidRPr="005C76C3">
        <w:rPr>
          <w:rFonts w:asciiTheme="minorHAnsi" w:hAnsiTheme="minorHAnsi" w:cstheme="minorHAnsi"/>
          <w:sz w:val="20"/>
          <w:szCs w:val="20"/>
        </w:rPr>
        <w:tab/>
      </w:r>
      <w:r w:rsidRPr="005C76C3">
        <w:rPr>
          <w:rFonts w:asciiTheme="minorHAnsi" w:hAnsiTheme="minorHAnsi" w:cstheme="minorHAnsi"/>
          <w:sz w:val="20"/>
          <w:szCs w:val="20"/>
        </w:rPr>
        <w:tab/>
      </w:r>
      <w:r w:rsidRPr="005C76C3">
        <w:rPr>
          <w:rFonts w:asciiTheme="minorHAnsi" w:hAnsiTheme="minorHAnsi" w:cstheme="minorHAnsi"/>
          <w:sz w:val="20"/>
          <w:szCs w:val="20"/>
        </w:rPr>
        <w:tab/>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Default="00E5594A"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E3415F" w:rsidRPr="00E3415F" w:rsidRDefault="00E3415F" w:rsidP="002511E4">
      <w:pPr>
        <w:pStyle w:val="Odsekzoznamu"/>
        <w:tabs>
          <w:tab w:val="left" w:pos="9072"/>
        </w:tabs>
        <w:spacing w:line="288" w:lineRule="auto"/>
        <w:ind w:left="851" w:firstLine="0"/>
        <w:rPr>
          <w:rFonts w:asciiTheme="minorHAnsi" w:hAnsiTheme="minorHAnsi" w:cstheme="minorHAnsi"/>
          <w:sz w:val="20"/>
          <w:szCs w:val="20"/>
        </w:rPr>
      </w:pPr>
    </w:p>
    <w:p w:rsidR="009F5B59" w:rsidRPr="00BB00B7"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2511E4">
      <w:pPr>
        <w:pStyle w:val="Odsekzoznamu"/>
        <w:spacing w:line="288" w:lineRule="auto"/>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2511E4">
      <w:pPr>
        <w:pStyle w:val="Odsekzoznamu"/>
        <w:spacing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EE7BC3"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Default="009F5B59" w:rsidP="002511E4">
      <w:pPr>
        <w:pStyle w:val="Odsekzoznamu"/>
        <w:tabs>
          <w:tab w:val="left" w:pos="9072"/>
        </w:tabs>
        <w:spacing w:line="288" w:lineRule="auto"/>
        <w:ind w:left="851" w:firstLine="0"/>
        <w:rPr>
          <w:rFonts w:asciiTheme="minorHAnsi" w:hAnsiTheme="minorHAnsi" w:cstheme="minorHAnsi"/>
          <w:sz w:val="20"/>
          <w:szCs w:val="20"/>
        </w:rPr>
      </w:pPr>
    </w:p>
    <w:p w:rsidR="009F5B59" w:rsidRDefault="0065621B"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Pr>
          <w:rFonts w:asciiTheme="minorHAnsi" w:hAnsiTheme="minorHAnsi" w:cstheme="minorHAnsi"/>
          <w:sz w:val="20"/>
          <w:szCs w:val="20"/>
        </w:rPr>
        <w:t>Minimálne jednora</w:t>
      </w:r>
      <w:r w:rsidRPr="009F5B59">
        <w:rPr>
          <w:rFonts w:asciiTheme="minorHAnsi" w:hAnsiTheme="minorHAnsi" w:cstheme="minorHAnsi"/>
          <w:sz w:val="20"/>
          <w:szCs w:val="20"/>
        </w:rPr>
        <w:t>zovo</w:t>
      </w:r>
      <w:r w:rsidR="009F5B59" w:rsidRPr="009F5B59">
        <w:rPr>
          <w:rFonts w:asciiTheme="minorHAnsi" w:hAnsiTheme="minorHAnsi" w:cstheme="minorHAnsi"/>
          <w:sz w:val="20"/>
          <w:szCs w:val="20"/>
        </w:rPr>
        <w:t xml:space="preserve"> dodané množstvo do odberného miesta verejného obstarávateľa v rámci čiastkovej objednávk</w:t>
      </w:r>
      <w:r w:rsidR="009F5B59">
        <w:rPr>
          <w:rFonts w:asciiTheme="minorHAnsi" w:hAnsiTheme="minorHAnsi" w:cstheme="minorHAnsi"/>
          <w:sz w:val="20"/>
          <w:szCs w:val="20"/>
        </w:rPr>
        <w:t>y je v hodnote 100</w:t>
      </w:r>
      <w:r w:rsidR="00517F19">
        <w:rPr>
          <w:rFonts w:asciiTheme="minorHAnsi" w:hAnsiTheme="minorHAnsi" w:cstheme="minorHAnsi"/>
          <w:sz w:val="20"/>
          <w:szCs w:val="20"/>
        </w:rPr>
        <w:t>,00</w:t>
      </w:r>
      <w:r w:rsidR="009F5B59">
        <w:rPr>
          <w:rFonts w:asciiTheme="minorHAnsi" w:hAnsiTheme="minorHAnsi" w:cstheme="minorHAnsi"/>
          <w:sz w:val="20"/>
          <w:szCs w:val="20"/>
        </w:rPr>
        <w:t xml:space="preserve"> EUR bez DPH v lehote najneskôr 5 dní odo dňa doručenia čiastkovej objednávky.</w:t>
      </w:r>
    </w:p>
    <w:p w:rsidR="00E3415F" w:rsidRPr="00E3415F" w:rsidRDefault="00E3415F"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2511E4">
      <w:pPr>
        <w:spacing w:line="288" w:lineRule="auto"/>
        <w:ind w:left="0" w:right="112" w:firstLine="0"/>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2511E4">
      <w:pPr>
        <w:pStyle w:val="Odsekzoznamu"/>
        <w:numPr>
          <w:ilvl w:val="1"/>
          <w:numId w:val="3"/>
        </w:numPr>
        <w:spacing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2511E4">
      <w:pPr>
        <w:spacing w:line="288" w:lineRule="auto"/>
        <w:ind w:left="-5" w:right="11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2511E4">
      <w:pPr>
        <w:pStyle w:val="Odsekzoznamu"/>
        <w:spacing w:line="288" w:lineRule="auto"/>
        <w:ind w:left="851" w:right="112" w:firstLine="0"/>
        <w:rPr>
          <w:rFonts w:asciiTheme="minorHAnsi" w:hAnsiTheme="minorHAnsi" w:cstheme="minorHAnsi"/>
          <w:sz w:val="20"/>
          <w:szCs w:val="20"/>
        </w:rPr>
      </w:pPr>
    </w:p>
    <w:p w:rsidR="00D32ADB" w:rsidRPr="005C76C3" w:rsidRDefault="004B7C4A"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2511E4">
      <w:pPr>
        <w:pStyle w:val="Odsekzoznamu"/>
        <w:numPr>
          <w:ilvl w:val="1"/>
          <w:numId w:val="3"/>
        </w:numPr>
        <w:spacing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6733C1">
        <w:rPr>
          <w:rFonts w:asciiTheme="minorHAnsi" w:hAnsiTheme="minorHAnsi" w:cstheme="minorHAnsi"/>
          <w:sz w:val="20"/>
          <w:szCs w:val="20"/>
        </w:rPr>
        <w:t>24</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65621B">
      <w:pPr>
        <w:spacing w:line="288" w:lineRule="auto"/>
        <w:ind w:left="131" w:right="0" w:firstLine="0"/>
        <w:rPr>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2511E4">
      <w:pPr>
        <w:spacing w:line="288" w:lineRule="auto"/>
        <w:ind w:left="851" w:right="112" w:hanging="709"/>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2511E4">
      <w:pPr>
        <w:spacing w:line="288" w:lineRule="auto"/>
        <w:ind w:right="112" w:firstLine="13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B82BAD">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sadzba DPH, </w:t>
      </w:r>
    </w:p>
    <w:p w:rsidR="00366F10" w:rsidRPr="00541748" w:rsidRDefault="00366F10" w:rsidP="002511E4">
      <w:pPr>
        <w:pStyle w:val="Odsekzoznamu"/>
        <w:numPr>
          <w:ilvl w:val="0"/>
          <w:numId w:val="34"/>
        </w:numPr>
        <w:spacing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2511E4">
      <w:pPr>
        <w:spacing w:line="288" w:lineRule="auto"/>
        <w:ind w:left="0" w:right="112" w:firstLine="0"/>
        <w:rPr>
          <w:color w:val="auto"/>
          <w:sz w:val="20"/>
          <w:szCs w:val="20"/>
        </w:rPr>
      </w:pPr>
    </w:p>
    <w:p w:rsidR="00D32ADB" w:rsidRPr="005C76C3" w:rsidRDefault="00D32ADB" w:rsidP="002511E4">
      <w:pPr>
        <w:pStyle w:val="Odsekzoznamu"/>
        <w:numPr>
          <w:ilvl w:val="0"/>
          <w:numId w:val="3"/>
        </w:numPr>
        <w:spacing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2511E4">
      <w:pPr>
        <w:pStyle w:val="Odsekzoznamu"/>
        <w:numPr>
          <w:ilvl w:val="1"/>
          <w:numId w:val="3"/>
        </w:numPr>
        <w:spacing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2511E4">
      <w:pPr>
        <w:spacing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2511E4">
      <w:pPr>
        <w:pStyle w:val="Default"/>
        <w:numPr>
          <w:ilvl w:val="0"/>
          <w:numId w:val="29"/>
        </w:numPr>
        <w:spacing w:after="4"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C8750A" w:rsidRPr="005C76C3" w:rsidRDefault="00C8750A" w:rsidP="002511E4">
      <w:pPr>
        <w:pStyle w:val="Zarkazkladnhotextu"/>
        <w:spacing w:after="4" w:line="288" w:lineRule="auto"/>
        <w:ind w:left="1701" w:right="112" w:firstLine="993"/>
        <w:jc w:val="both"/>
        <w:rPr>
          <w:rFonts w:asciiTheme="minorHAnsi" w:hAnsiTheme="minorHAnsi" w:cstheme="minorHAnsi"/>
        </w:rPr>
      </w:pPr>
      <w:r>
        <w:rPr>
          <w:rFonts w:asciiTheme="minorHAnsi" w:hAnsiTheme="minorHAnsi" w:cstheme="minorHAnsi"/>
        </w:rPr>
        <w:tab/>
      </w:r>
    </w:p>
    <w:p w:rsidR="000E7AF4" w:rsidRPr="005C76C3" w:rsidRDefault="000E7AF4" w:rsidP="002511E4">
      <w:pPr>
        <w:tabs>
          <w:tab w:val="left" w:pos="9072"/>
        </w:tabs>
        <w:spacing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2511E4">
      <w:pPr>
        <w:pStyle w:val="Zarkazkladnhotextu"/>
        <w:spacing w:after="4"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2511E4">
      <w:pPr>
        <w:pStyle w:val="Odsekzoznamu"/>
        <w:numPr>
          <w:ilvl w:val="1"/>
          <w:numId w:val="3"/>
        </w:numPr>
        <w:spacing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2511E4">
      <w:pPr>
        <w:numPr>
          <w:ilvl w:val="0"/>
          <w:numId w:val="1"/>
        </w:numPr>
        <w:spacing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C90843" w:rsidRDefault="00D32ADB" w:rsidP="002511E4">
      <w:pPr>
        <w:pStyle w:val="Odsekzoznamu"/>
        <w:numPr>
          <w:ilvl w:val="1"/>
          <w:numId w:val="3"/>
        </w:numPr>
        <w:spacing w:line="288" w:lineRule="auto"/>
        <w:ind w:left="851" w:right="112"/>
        <w:rPr>
          <w:rFonts w:asciiTheme="minorHAnsi" w:hAnsiTheme="minorHAnsi" w:cstheme="minorHAnsi"/>
          <w:sz w:val="20"/>
          <w:szCs w:val="20"/>
        </w:rPr>
      </w:pPr>
      <w:r w:rsidRPr="00C90843">
        <w:rPr>
          <w:rFonts w:asciiTheme="minorHAnsi" w:hAnsiTheme="minorHAnsi" w:cstheme="minorHAnsi"/>
          <w:sz w:val="20"/>
          <w:szCs w:val="20"/>
        </w:rPr>
        <w:t xml:space="preserve">Ponuky musia byť </w:t>
      </w:r>
      <w:r w:rsidRPr="00C90843">
        <w:rPr>
          <w:rFonts w:asciiTheme="minorHAnsi" w:hAnsiTheme="minorHAnsi" w:cstheme="minorHAnsi"/>
          <w:b/>
          <w:sz w:val="20"/>
          <w:szCs w:val="20"/>
        </w:rPr>
        <w:t>doručené do</w:t>
      </w:r>
      <w:r w:rsidR="003063E5">
        <w:rPr>
          <w:rFonts w:asciiTheme="minorHAnsi" w:hAnsiTheme="minorHAnsi" w:cstheme="minorHAnsi"/>
          <w:b/>
          <w:sz w:val="20"/>
          <w:szCs w:val="20"/>
        </w:rPr>
        <w:t xml:space="preserve"> 13</w:t>
      </w:r>
      <w:bookmarkStart w:id="5" w:name="_GoBack"/>
      <w:bookmarkEnd w:id="5"/>
      <w:r w:rsidR="00C90843" w:rsidRPr="00C90843">
        <w:rPr>
          <w:rFonts w:asciiTheme="minorHAnsi" w:hAnsiTheme="minorHAnsi" w:cstheme="minorHAnsi"/>
          <w:b/>
          <w:sz w:val="20"/>
          <w:szCs w:val="20"/>
        </w:rPr>
        <w:t>.09.2021 09:00 hod.</w:t>
      </w:r>
    </w:p>
    <w:p w:rsidR="00D32ADB" w:rsidRPr="005C76C3" w:rsidRDefault="00D32ADB" w:rsidP="002511E4">
      <w:pPr>
        <w:spacing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2511E4">
      <w:pPr>
        <w:spacing w:line="288" w:lineRule="auto"/>
        <w:ind w:left="1080" w:right="112" w:firstLine="0"/>
        <w:rPr>
          <w:rFonts w:asciiTheme="minorHAnsi" w:hAnsiTheme="minorHAnsi" w:cstheme="minorHAnsi"/>
          <w:sz w:val="20"/>
          <w:szCs w:val="20"/>
        </w:rPr>
      </w:pPr>
    </w:p>
    <w:p w:rsidR="00C7700D" w:rsidRPr="005C76C3" w:rsidRDefault="00C7700D" w:rsidP="002511E4">
      <w:pPr>
        <w:spacing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2511E4">
      <w:pPr>
        <w:pStyle w:val="Odsekzoznamu"/>
        <w:spacing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2511E4">
      <w:pPr>
        <w:pStyle w:val="Odsekzoznamu"/>
        <w:spacing w:line="288" w:lineRule="auto"/>
        <w:ind w:left="851" w:right="112" w:firstLine="0"/>
        <w:rPr>
          <w:rFonts w:asciiTheme="minorHAnsi" w:hAnsiTheme="minorHAnsi" w:cstheme="minorHAnsi"/>
          <w:b/>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5404D8" w:rsidRDefault="004F6AFD" w:rsidP="005404D8">
      <w:pPr>
        <w:pStyle w:val="Odsekzoznamu"/>
        <w:numPr>
          <w:ilvl w:val="1"/>
          <w:numId w:val="3"/>
        </w:numPr>
        <w:spacing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2511E4">
      <w:pPr>
        <w:pStyle w:val="Odsekzoznamu"/>
        <w:spacing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2511E4">
      <w:pPr>
        <w:pStyle w:val="Odsekzoznamu"/>
        <w:numPr>
          <w:ilvl w:val="1"/>
          <w:numId w:val="3"/>
        </w:numPr>
        <w:spacing w:line="288" w:lineRule="auto"/>
        <w:ind w:left="851" w:right="112"/>
        <w:jc w:val="left"/>
        <w:rPr>
          <w:sz w:val="20"/>
          <w:szCs w:val="20"/>
        </w:rPr>
      </w:pPr>
      <w:r w:rsidRPr="000832C1">
        <w:rPr>
          <w:sz w:val="20"/>
          <w:szCs w:val="20"/>
        </w:rPr>
        <w:t>Predmet zákazky sa nedelí na časti.</w:t>
      </w:r>
    </w:p>
    <w:p w:rsidR="004F6AFD" w:rsidRPr="000832C1" w:rsidRDefault="004F6AFD" w:rsidP="002511E4">
      <w:pPr>
        <w:pStyle w:val="Odsekzoznamu"/>
        <w:spacing w:line="288" w:lineRule="auto"/>
        <w:ind w:left="1080" w:right="112" w:firstLine="0"/>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2511E4">
      <w:pPr>
        <w:pStyle w:val="Odsekzoznamu"/>
        <w:spacing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2511E4">
      <w:pPr>
        <w:spacing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2511E4">
      <w:pPr>
        <w:spacing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2511E4">
      <w:pPr>
        <w:spacing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2511E4">
      <w:pPr>
        <w:spacing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2511E4">
      <w:pPr>
        <w:spacing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2511E4">
      <w:pPr>
        <w:pStyle w:val="Odsekzoznamu"/>
        <w:spacing w:line="288" w:lineRule="auto"/>
        <w:ind w:left="426" w:right="112" w:firstLine="0"/>
        <w:jc w:val="left"/>
        <w:rPr>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2511E4">
      <w:pPr>
        <w:pStyle w:val="Odsekzoznamu"/>
        <w:tabs>
          <w:tab w:val="num" w:pos="284"/>
        </w:tabs>
        <w:spacing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2511E4">
      <w:pPr>
        <w:pStyle w:val="Odsekzoznamu"/>
        <w:tabs>
          <w:tab w:val="num" w:pos="284"/>
        </w:tabs>
        <w:spacing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2511E4">
      <w:pPr>
        <w:spacing w:line="288" w:lineRule="auto"/>
        <w:ind w:right="112"/>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2511E4">
      <w:pPr>
        <w:pStyle w:val="Odsekzoznamu"/>
        <w:numPr>
          <w:ilvl w:val="1"/>
          <w:numId w:val="3"/>
        </w:numPr>
        <w:spacing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2511E4">
      <w:pPr>
        <w:spacing w:line="288" w:lineRule="auto"/>
        <w:ind w:left="0" w:right="112" w:firstLine="0"/>
        <w:jc w:val="left"/>
        <w:rPr>
          <w:sz w:val="20"/>
          <w:szCs w:val="20"/>
          <w:u w:val="single"/>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Elektronická aukcia sa nepoužije.</w:t>
      </w:r>
    </w:p>
    <w:p w:rsidR="004F6AFD" w:rsidRPr="000832C1" w:rsidRDefault="004F6AFD" w:rsidP="002511E4">
      <w:pPr>
        <w:pStyle w:val="Odsekzoznamu"/>
        <w:spacing w:line="288" w:lineRule="auto"/>
        <w:ind w:left="1080" w:right="112" w:firstLine="0"/>
        <w:rPr>
          <w:sz w:val="20"/>
          <w:szCs w:val="20"/>
        </w:rPr>
      </w:pPr>
    </w:p>
    <w:p w:rsidR="004F6AFD" w:rsidRPr="000832C1" w:rsidRDefault="004F6AFD" w:rsidP="002511E4">
      <w:pPr>
        <w:pStyle w:val="Nadpis1"/>
        <w:numPr>
          <w:ilvl w:val="0"/>
          <w:numId w:val="3"/>
        </w:numPr>
        <w:spacing w:after="4"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2511E4">
      <w:pPr>
        <w:pStyle w:val="Default"/>
        <w:numPr>
          <w:ilvl w:val="1"/>
          <w:numId w:val="3"/>
        </w:numPr>
        <w:spacing w:after="4"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6" w:right="112" w:hanging="426"/>
        <w:rPr>
          <w:sz w:val="20"/>
          <w:szCs w:val="20"/>
        </w:rPr>
      </w:pPr>
      <w:r w:rsidRPr="000832C1">
        <w:rPr>
          <w:sz w:val="20"/>
          <w:szCs w:val="20"/>
        </w:rPr>
        <w:t>Záverečné ustanovenia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2511E4">
      <w:pPr>
        <w:spacing w:line="288" w:lineRule="auto"/>
        <w:ind w:left="0" w:right="112" w:firstLine="0"/>
        <w:jc w:val="left"/>
        <w:rPr>
          <w:sz w:val="20"/>
          <w:szCs w:val="20"/>
        </w:rPr>
      </w:pPr>
      <w:r w:rsidRPr="000832C1">
        <w:rPr>
          <w:sz w:val="20"/>
          <w:szCs w:val="20"/>
        </w:rPr>
        <w:t xml:space="preserve"> </w:t>
      </w:r>
    </w:p>
    <w:p w:rsidR="004F6AFD" w:rsidRPr="000832C1" w:rsidRDefault="004F6AFD" w:rsidP="002511E4">
      <w:pPr>
        <w:pStyle w:val="Nadpis1"/>
        <w:numPr>
          <w:ilvl w:val="0"/>
          <w:numId w:val="3"/>
        </w:numPr>
        <w:spacing w:after="4"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1 Výzvy – Návrh na plnenie kritéria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4 Výzvy – Čestné vyhlásenie</w:t>
      </w:r>
    </w:p>
    <w:p w:rsidR="004F6AFD" w:rsidRDefault="004F6AFD" w:rsidP="002511E4">
      <w:pPr>
        <w:numPr>
          <w:ilvl w:val="0"/>
          <w:numId w:val="8"/>
        </w:numPr>
        <w:spacing w:line="288" w:lineRule="auto"/>
        <w:ind w:right="112" w:firstLine="131"/>
        <w:rPr>
          <w:sz w:val="20"/>
          <w:szCs w:val="20"/>
        </w:rPr>
      </w:pPr>
      <w:r w:rsidRPr="000832C1">
        <w:rPr>
          <w:sz w:val="20"/>
          <w:szCs w:val="20"/>
        </w:rPr>
        <w:t>Príloha č. 5 Výzvy – Krycí list ponuky</w:t>
      </w:r>
    </w:p>
    <w:p w:rsidR="002A29E7" w:rsidRDefault="002A29E7" w:rsidP="002511E4">
      <w:pPr>
        <w:numPr>
          <w:ilvl w:val="0"/>
          <w:numId w:val="8"/>
        </w:numPr>
        <w:spacing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3063E5" w:rsidRPr="003063E5">
      <w:rPr>
        <w:rFonts w:ascii="Times New Roman" w:eastAsia="Times New Roman" w:hAnsi="Times New Roman" w:cs="Times New Roman"/>
        <w:b/>
        <w:noProof/>
        <w:sz w:val="16"/>
        <w:szCs w:val="16"/>
      </w:rPr>
      <w:t>9</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3063E5">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3063E5" w:rsidRPr="003063E5">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3063E5">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3E5"/>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04D8"/>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1370"/>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33C1"/>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493"/>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2BAD"/>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0843"/>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C7C8B"/>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0FE9-924D-4E92-A639-EE7145D5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3445</Words>
  <Characters>19637</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6</cp:revision>
  <cp:lastPrinted>2019-03-27T08:50:00Z</cp:lastPrinted>
  <dcterms:created xsi:type="dcterms:W3CDTF">2021-08-04T07:18:00Z</dcterms:created>
  <dcterms:modified xsi:type="dcterms:W3CDTF">2021-09-06T06:23:00Z</dcterms:modified>
</cp:coreProperties>
</file>