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FD84" w14:textId="77777777" w:rsidR="0041655E" w:rsidRPr="00E61539" w:rsidRDefault="0041655E" w:rsidP="005B4048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  <w:bookmarkStart w:id="0" w:name="_GoBack"/>
      <w:bookmarkEnd w:id="0"/>
    </w:p>
    <w:p w14:paraId="2DF9627B" w14:textId="77777777" w:rsidR="001F7625" w:rsidRPr="00E61539" w:rsidRDefault="003A364E" w:rsidP="001F7625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E61539">
        <w:rPr>
          <w:rFonts w:ascii="Times New Roman" w:hAnsi="Times New Roman"/>
          <w:szCs w:val="22"/>
        </w:rPr>
        <w:t>P</w:t>
      </w:r>
      <w:r w:rsidR="001F7625" w:rsidRPr="00E61539">
        <w:rPr>
          <w:rFonts w:ascii="Times New Roman" w:hAnsi="Times New Roman"/>
          <w:szCs w:val="22"/>
        </w:rPr>
        <w:t xml:space="preserve">ríloha č. 1    </w:t>
      </w:r>
      <w:r w:rsidR="001F7625" w:rsidRPr="00E61539">
        <w:rPr>
          <w:rFonts w:ascii="Times New Roman" w:hAnsi="Times New Roman"/>
          <w:b/>
          <w:bCs/>
          <w:szCs w:val="22"/>
        </w:rPr>
        <w:t xml:space="preserve"> </w:t>
      </w:r>
    </w:p>
    <w:p w14:paraId="5343E4FF" w14:textId="77777777" w:rsidR="001F7625" w:rsidRPr="00E61539" w:rsidRDefault="001F7625" w:rsidP="001F7625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Krycí list ponuky</w:t>
      </w:r>
    </w:p>
    <w:p w14:paraId="6EB4DC15" w14:textId="77777777" w:rsidR="001F7625" w:rsidRPr="00E61539" w:rsidRDefault="001F7625" w:rsidP="001F7625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14:paraId="2B6BFC7A" w14:textId="77777777" w:rsidR="001F7625" w:rsidRPr="00E61539" w:rsidRDefault="001F7625" w:rsidP="001F762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  <w:b/>
        </w:rPr>
        <w:t>Mestská časť Bratislava-Petržalka</w:t>
      </w:r>
      <w:r w:rsidRPr="00E61539">
        <w:rPr>
          <w:rFonts w:ascii="Times New Roman" w:hAnsi="Times New Roman" w:cs="Times New Roman"/>
        </w:rPr>
        <w:t xml:space="preserve">  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14:paraId="68C1AF0E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proofErr w:type="spellStart"/>
      <w:r w:rsidRPr="00E61539">
        <w:rPr>
          <w:rFonts w:ascii="Times New Roman" w:hAnsi="Times New Roman" w:cs="Times New Roman"/>
        </w:rPr>
        <w:t>Kutlíkova</w:t>
      </w:r>
      <w:proofErr w:type="spellEnd"/>
      <w:r w:rsidRPr="00E61539">
        <w:rPr>
          <w:rFonts w:ascii="Times New Roman" w:hAnsi="Times New Roman" w:cs="Times New Roman"/>
        </w:rPr>
        <w:t xml:space="preserve">   17, 852 12 Bratislava</w:t>
      </w:r>
    </w:p>
    <w:p w14:paraId="6965AB03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14:paraId="7C5E86C0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00 603 201                     </w:t>
      </w:r>
    </w:p>
    <w:p w14:paraId="51646CD5" w14:textId="77777777"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2020936643                   </w:t>
      </w:r>
    </w:p>
    <w:p w14:paraId="14B0159A" w14:textId="77777777" w:rsidR="001F7625" w:rsidRPr="00E61539" w:rsidRDefault="001F7625" w:rsidP="00014DFE">
      <w:pPr>
        <w:spacing w:after="24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  <w:t xml:space="preserve">Ing. Ján Hrčka, starosta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14:paraId="30845C1B" w14:textId="382AA0F0" w:rsidR="00FF4CBB" w:rsidRPr="00E61539" w:rsidRDefault="00FF4CBB" w:rsidP="00014DFE">
      <w:pPr>
        <w:spacing w:after="240"/>
        <w:jc w:val="center"/>
        <w:rPr>
          <w:rFonts w:ascii="Times New Roman" w:hAnsi="Times New Roman" w:cs="Times New Roman"/>
          <w:b/>
        </w:rPr>
      </w:pPr>
      <w:r w:rsidRPr="00041259">
        <w:rPr>
          <w:rFonts w:ascii="Times New Roman" w:eastAsiaTheme="minorEastAsia" w:hAnsi="Times New Roman" w:cs="Times New Roman"/>
          <w:b/>
          <w:sz w:val="24"/>
          <w:szCs w:val="24"/>
        </w:rPr>
        <w:t>„</w:t>
      </w:r>
      <w:r w:rsidR="00014DFE" w:rsidRPr="00014DFE">
        <w:rPr>
          <w:rFonts w:ascii="Times New Roman" w:eastAsiaTheme="minorEastAsia" w:hAnsi="Times New Roman" w:cs="Times New Roman"/>
          <w:b/>
          <w:sz w:val="24"/>
          <w:szCs w:val="24"/>
        </w:rPr>
        <w:t>Rozvoj Šrobárovho námestia a priľahlého okolia, Bratislava – I. Etapa</w:t>
      </w:r>
      <w:r>
        <w:rPr>
          <w:rFonts w:ascii="Times New Roman" w:hAnsi="Times New Roman"/>
          <w:b/>
        </w:rPr>
        <w:t>“</w:t>
      </w:r>
    </w:p>
    <w:p w14:paraId="6267A9C8" w14:textId="77777777"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1F7625" w:rsidRPr="00E61539" w14:paraId="31684A16" w14:textId="77777777" w:rsidTr="00283778">
        <w:tc>
          <w:tcPr>
            <w:tcW w:w="4652" w:type="dxa"/>
          </w:tcPr>
          <w:p w14:paraId="3DE94C67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14:paraId="3A24D0BA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51CA847A" w14:textId="77777777" w:rsidTr="00283778">
        <w:tc>
          <w:tcPr>
            <w:tcW w:w="4652" w:type="dxa"/>
            <w:shd w:val="clear" w:color="auto" w:fill="D9D9D9"/>
          </w:tcPr>
          <w:p w14:paraId="08EEF1A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14:paraId="51B96E55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5DEF44E3" w14:textId="77777777" w:rsidTr="00283778">
        <w:tc>
          <w:tcPr>
            <w:tcW w:w="4652" w:type="dxa"/>
          </w:tcPr>
          <w:p w14:paraId="61490EBD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14:paraId="4AC7615F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139DB53A" w14:textId="77777777" w:rsidTr="00283778">
        <w:tc>
          <w:tcPr>
            <w:tcW w:w="4652" w:type="dxa"/>
          </w:tcPr>
          <w:p w14:paraId="3F32AE54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14:paraId="16569BA5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07086E3A" w14:textId="77777777" w:rsidTr="00283778">
        <w:tc>
          <w:tcPr>
            <w:tcW w:w="4652" w:type="dxa"/>
          </w:tcPr>
          <w:p w14:paraId="243E32F6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14:paraId="0135C663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40D98BFA" w14:textId="77777777" w:rsidTr="00283778">
        <w:tc>
          <w:tcPr>
            <w:tcW w:w="4652" w:type="dxa"/>
          </w:tcPr>
          <w:p w14:paraId="69796BA1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14:paraId="7222EC8B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6B3A2A78" w14:textId="77777777" w:rsidTr="00283778">
        <w:tc>
          <w:tcPr>
            <w:tcW w:w="4652" w:type="dxa"/>
            <w:shd w:val="clear" w:color="auto" w:fill="D9D9D9"/>
          </w:tcPr>
          <w:p w14:paraId="74DBDCD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14:paraId="31B4414E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5425B024" w14:textId="77777777" w:rsidTr="00283778">
        <w:tc>
          <w:tcPr>
            <w:tcW w:w="4652" w:type="dxa"/>
          </w:tcPr>
          <w:p w14:paraId="317C3555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14:paraId="0516BB8C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4F89212C" w14:textId="77777777" w:rsidTr="00283778">
        <w:tc>
          <w:tcPr>
            <w:tcW w:w="4652" w:type="dxa"/>
          </w:tcPr>
          <w:p w14:paraId="44E33D74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14:paraId="5CB965F4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665BAC69" w14:textId="77777777" w:rsidTr="00283778">
        <w:tc>
          <w:tcPr>
            <w:tcW w:w="4652" w:type="dxa"/>
          </w:tcPr>
          <w:p w14:paraId="5ACA8586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14:paraId="26715F24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2B9AB2FF" w14:textId="77777777" w:rsidTr="00283778">
        <w:tc>
          <w:tcPr>
            <w:tcW w:w="4652" w:type="dxa"/>
          </w:tcPr>
          <w:p w14:paraId="65F22B2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14:paraId="166E96C5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F2B7BDE" w14:textId="77777777" w:rsidTr="00283778">
        <w:tc>
          <w:tcPr>
            <w:tcW w:w="4652" w:type="dxa"/>
            <w:shd w:val="clear" w:color="auto" w:fill="D9D9D9"/>
          </w:tcPr>
          <w:p w14:paraId="68D1B9A6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14:paraId="50CC0D6A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08FE4FFC" w14:textId="77777777" w:rsidTr="00283778">
        <w:tc>
          <w:tcPr>
            <w:tcW w:w="4652" w:type="dxa"/>
            <w:shd w:val="clear" w:color="auto" w:fill="FFFFFF"/>
          </w:tcPr>
          <w:p w14:paraId="023BBDC2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14:paraId="48EB613D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1C2517D0" w14:textId="77777777" w:rsidTr="00283778">
        <w:tc>
          <w:tcPr>
            <w:tcW w:w="4652" w:type="dxa"/>
            <w:shd w:val="clear" w:color="auto" w:fill="FFFFFF"/>
          </w:tcPr>
          <w:p w14:paraId="1F4F3377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14:paraId="3C76298F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4EB32C6" w14:textId="77777777" w:rsidTr="00283778">
        <w:tc>
          <w:tcPr>
            <w:tcW w:w="4652" w:type="dxa"/>
            <w:shd w:val="clear" w:color="auto" w:fill="FFFFFF"/>
          </w:tcPr>
          <w:p w14:paraId="560F3744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14:paraId="20C80818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3E185CB9" w14:textId="77777777" w:rsidTr="00283778">
        <w:tc>
          <w:tcPr>
            <w:tcW w:w="4652" w:type="dxa"/>
            <w:shd w:val="clear" w:color="auto" w:fill="FFFFFF"/>
          </w:tcPr>
          <w:p w14:paraId="3E07964B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14:paraId="441D9636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44A37E32" w14:textId="77777777" w:rsidTr="00283778">
        <w:tc>
          <w:tcPr>
            <w:tcW w:w="4652" w:type="dxa"/>
            <w:shd w:val="clear" w:color="auto" w:fill="FFFFFF"/>
          </w:tcPr>
          <w:p w14:paraId="47AA0D82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14:paraId="61D50812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084A5410" w14:textId="77777777" w:rsidTr="00283778">
        <w:tc>
          <w:tcPr>
            <w:tcW w:w="4652" w:type="dxa"/>
            <w:shd w:val="clear" w:color="auto" w:fill="FFFFFF"/>
          </w:tcPr>
          <w:p w14:paraId="4F2D0DF8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14:paraId="0E7DB9B7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14:paraId="6C5B89F3" w14:textId="77777777" w:rsidTr="00283778">
        <w:tc>
          <w:tcPr>
            <w:tcW w:w="4652" w:type="dxa"/>
            <w:shd w:val="clear" w:color="auto" w:fill="FFFFFF"/>
          </w:tcPr>
          <w:p w14:paraId="26878E3B" w14:textId="77777777"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14:paraId="39682B8D" w14:textId="77777777"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0EC8254B" w14:textId="77777777" w:rsidR="001F7625" w:rsidRDefault="001F7625" w:rsidP="00014DFE">
      <w:pPr>
        <w:spacing w:before="240"/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</w:p>
    <w:p w14:paraId="2F4B6505" w14:textId="77777777" w:rsidR="00F8149D" w:rsidRPr="00032B10" w:rsidRDefault="00F8149D" w:rsidP="00F8149D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D971D1">
        <w:rPr>
          <w:bCs/>
          <w:color w:val="auto"/>
        </w:rPr>
        <w:t>Príloha č. 1 Krycí list ponuky</w:t>
      </w:r>
    </w:p>
    <w:p w14:paraId="7A6F422F" w14:textId="77777777" w:rsidR="00F8149D" w:rsidRPr="00D971D1" w:rsidRDefault="00F8149D" w:rsidP="00F8149D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>
        <w:rPr>
          <w:bCs/>
          <w:color w:val="auto"/>
        </w:rPr>
        <w:t>Príloha č. 2 Čestné vyhlásenia</w:t>
      </w:r>
    </w:p>
    <w:p w14:paraId="194B0F52" w14:textId="77777777" w:rsidR="00F8149D" w:rsidRPr="00D971D1" w:rsidRDefault="00F8149D" w:rsidP="00F8149D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left="993" w:hanging="142"/>
        <w:jc w:val="both"/>
        <w:rPr>
          <w:color w:val="auto"/>
        </w:rPr>
      </w:pPr>
      <w:r w:rsidRPr="00D971D1">
        <w:rPr>
          <w:color w:val="auto"/>
        </w:rPr>
        <w:t>Príloha č. 2.1 Vyhlásenie o súhlase s podmienkami</w:t>
      </w:r>
      <w:r>
        <w:rPr>
          <w:color w:val="auto"/>
        </w:rPr>
        <w:t xml:space="preserve"> súťaže, pravdivosti a úplnosti  </w:t>
      </w:r>
      <w:r w:rsidRPr="00D971D1">
        <w:rPr>
          <w:color w:val="auto"/>
        </w:rPr>
        <w:t xml:space="preserve">dokladov </w:t>
      </w:r>
    </w:p>
    <w:p w14:paraId="6F977535" w14:textId="77777777" w:rsidR="00F8149D" w:rsidRPr="00D971D1" w:rsidRDefault="00F8149D" w:rsidP="00F8149D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bookmarkStart w:id="1" w:name="bookmark63"/>
      <w:bookmarkEnd w:id="1"/>
      <w:r w:rsidRPr="00D971D1">
        <w:rPr>
          <w:color w:val="auto"/>
        </w:rPr>
        <w:t>Príloha č. 2.2 Čestné vyhlásenie „Konflikt záujmov“</w:t>
      </w:r>
    </w:p>
    <w:p w14:paraId="207869D7" w14:textId="77777777" w:rsidR="00F8149D" w:rsidRPr="00D971D1" w:rsidRDefault="00F8149D" w:rsidP="00F8149D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r w:rsidRPr="00D971D1">
        <w:rPr>
          <w:color w:val="auto"/>
        </w:rPr>
        <w:t>Príloha č. 2.4 Vyhlásenie uchádzača o subdodávkach</w:t>
      </w:r>
    </w:p>
    <w:p w14:paraId="4681330C" w14:textId="77777777" w:rsidR="00F8149D" w:rsidRPr="00D971D1" w:rsidRDefault="00F8149D" w:rsidP="00F8149D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D971D1">
        <w:rPr>
          <w:color w:val="auto"/>
        </w:rPr>
        <w:t xml:space="preserve">Príloha č. 3 </w:t>
      </w:r>
      <w:r>
        <w:rPr>
          <w:color w:val="auto"/>
        </w:rPr>
        <w:t xml:space="preserve"> Návrh na plnenie kritérií </w:t>
      </w:r>
    </w:p>
    <w:p w14:paraId="6919D891" w14:textId="682A86D3" w:rsidR="00F8149D" w:rsidRPr="00F2362D" w:rsidRDefault="00F8149D" w:rsidP="003218F2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bookmarkStart w:id="2" w:name="bookmark65"/>
      <w:bookmarkStart w:id="3" w:name="bookmark66"/>
      <w:bookmarkEnd w:id="2"/>
      <w:bookmarkEnd w:id="3"/>
      <w:r w:rsidRPr="00F2362D">
        <w:rPr>
          <w:color w:val="auto"/>
        </w:rPr>
        <w:t xml:space="preserve">ZMLUVA O DIELO </w:t>
      </w:r>
      <w:r w:rsidRPr="00F2362D">
        <w:rPr>
          <w:bCs/>
          <w:color w:val="auto"/>
        </w:rPr>
        <w:t xml:space="preserve">uzatvorená </w:t>
      </w:r>
      <w:r w:rsidRPr="00F2362D">
        <w:rPr>
          <w:color w:val="000000"/>
          <w:lang w:eastAsia="sk-SK" w:bidi="sk-SK"/>
        </w:rPr>
        <w:t xml:space="preserve">uzavretá podľa § 536 a </w:t>
      </w:r>
      <w:proofErr w:type="spellStart"/>
      <w:r w:rsidRPr="00F2362D">
        <w:rPr>
          <w:color w:val="000000"/>
          <w:lang w:eastAsia="sk-SK" w:bidi="sk-SK"/>
        </w:rPr>
        <w:t>nasl</w:t>
      </w:r>
      <w:proofErr w:type="spellEnd"/>
      <w:r w:rsidRPr="00F2362D">
        <w:rPr>
          <w:color w:val="000000"/>
          <w:lang w:eastAsia="sk-SK" w:bidi="sk-SK"/>
        </w:rPr>
        <w:t>. zákona č. 513/1991 Zb. Obchodný zákonník v znení neskorších predpisov (ďalej len „</w:t>
      </w:r>
      <w:r w:rsidRPr="00F2362D">
        <w:rPr>
          <w:b/>
          <w:color w:val="000000"/>
          <w:lang w:eastAsia="sk-SK" w:bidi="sk-SK"/>
        </w:rPr>
        <w:t>Obchodný zákonník</w:t>
      </w:r>
      <w:r w:rsidRPr="00F2362D">
        <w:rPr>
          <w:color w:val="000000"/>
          <w:lang w:eastAsia="sk-SK" w:bidi="sk-SK"/>
        </w:rPr>
        <w:t>“) a § 65 a </w:t>
      </w:r>
      <w:proofErr w:type="spellStart"/>
      <w:r w:rsidRPr="00F2362D">
        <w:rPr>
          <w:color w:val="000000"/>
          <w:lang w:eastAsia="sk-SK" w:bidi="sk-SK"/>
        </w:rPr>
        <w:t>nasl</w:t>
      </w:r>
      <w:proofErr w:type="spellEnd"/>
      <w:r w:rsidRPr="00F2362D">
        <w:rPr>
          <w:color w:val="000000"/>
          <w:lang w:eastAsia="sk-SK" w:bidi="sk-SK"/>
        </w:rPr>
        <w:t xml:space="preserve">. zákona č. 185/2015 </w:t>
      </w:r>
      <w:proofErr w:type="spellStart"/>
      <w:r w:rsidRPr="00F2362D">
        <w:rPr>
          <w:color w:val="000000"/>
          <w:lang w:eastAsia="sk-SK" w:bidi="sk-SK"/>
        </w:rPr>
        <w:t>Z.z</w:t>
      </w:r>
      <w:proofErr w:type="spellEnd"/>
      <w:r w:rsidRPr="00F2362D">
        <w:rPr>
          <w:color w:val="000000"/>
          <w:lang w:eastAsia="sk-SK" w:bidi="sk-SK"/>
        </w:rPr>
        <w:t>. Autorský zákon v znení neskorších predpisov</w:t>
      </w:r>
      <w:r w:rsidR="00F2362D" w:rsidRPr="00F2362D">
        <w:rPr>
          <w:color w:val="000000"/>
          <w:lang w:eastAsia="sk-SK" w:bidi="sk-SK"/>
        </w:rPr>
        <w:t xml:space="preserve"> </w:t>
      </w:r>
      <w:r w:rsidRPr="00F2362D">
        <w:rPr>
          <w:color w:val="auto"/>
        </w:rPr>
        <w:t xml:space="preserve">podpísaný </w:t>
      </w:r>
      <w:proofErr w:type="spellStart"/>
      <w:r w:rsidRPr="00F2362D">
        <w:rPr>
          <w:color w:val="auto"/>
        </w:rPr>
        <w:t>sken</w:t>
      </w:r>
      <w:proofErr w:type="spellEnd"/>
      <w:r w:rsidRPr="00F2362D">
        <w:rPr>
          <w:color w:val="auto"/>
        </w:rPr>
        <w:t xml:space="preserve"> s dátumom a pečiatkou s prílohami: </w:t>
      </w:r>
    </w:p>
    <w:p w14:paraId="05F4A87D" w14:textId="5B8D9F0F" w:rsidR="00F2362D" w:rsidRPr="00F724FE" w:rsidRDefault="00F2362D" w:rsidP="00F2362D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hanging="77"/>
        <w:jc w:val="both"/>
        <w:rPr>
          <w:color w:val="auto"/>
        </w:rPr>
      </w:pPr>
      <w:r>
        <w:rPr>
          <w:color w:val="auto"/>
        </w:rPr>
        <w:t xml:space="preserve">  Príloha č. 2  </w:t>
      </w:r>
      <w:proofErr w:type="spellStart"/>
      <w:r>
        <w:rPr>
          <w:color w:val="auto"/>
        </w:rPr>
        <w:t>ZoD</w:t>
      </w:r>
      <w:proofErr w:type="spellEnd"/>
      <w:r>
        <w:rPr>
          <w:color w:val="auto"/>
        </w:rPr>
        <w:t xml:space="preserve">  -  Ocenený výkaz výmer </w:t>
      </w:r>
    </w:p>
    <w:p w14:paraId="25022917" w14:textId="6D1AF410" w:rsidR="00F2362D" w:rsidRDefault="00F2362D" w:rsidP="00F2362D">
      <w:pPr>
        <w:pStyle w:val="Zkladntext1"/>
        <w:tabs>
          <w:tab w:val="left" w:pos="1211"/>
        </w:tabs>
        <w:spacing w:after="0"/>
        <w:ind w:left="1211" w:hanging="77"/>
        <w:jc w:val="both"/>
        <w:rPr>
          <w:color w:val="auto"/>
        </w:rPr>
      </w:pPr>
      <w:bookmarkStart w:id="4" w:name="_Hlk76411486"/>
      <w:r>
        <w:rPr>
          <w:color w:val="auto"/>
        </w:rPr>
        <w:t xml:space="preserve">-  </w:t>
      </w:r>
      <w:r w:rsidR="00F8149D" w:rsidRPr="003104E2">
        <w:rPr>
          <w:color w:val="auto"/>
        </w:rPr>
        <w:t xml:space="preserve">Príloha č. </w:t>
      </w:r>
      <w:r>
        <w:rPr>
          <w:color w:val="auto"/>
        </w:rPr>
        <w:t>3</w:t>
      </w:r>
      <w:r w:rsidR="00F8149D">
        <w:rPr>
          <w:color w:val="auto"/>
        </w:rPr>
        <w:t xml:space="preserve"> 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ZoD</w:t>
      </w:r>
      <w:proofErr w:type="spellEnd"/>
      <w:r>
        <w:rPr>
          <w:color w:val="auto"/>
        </w:rPr>
        <w:t xml:space="preserve">  -  Vecný  a časový harmonogram realizácie </w:t>
      </w:r>
    </w:p>
    <w:p w14:paraId="1F9613C9" w14:textId="195FC9A9" w:rsidR="00F8149D" w:rsidRDefault="00F2362D" w:rsidP="00F2362D">
      <w:pPr>
        <w:pStyle w:val="Zkladntext1"/>
        <w:tabs>
          <w:tab w:val="left" w:pos="1211"/>
        </w:tabs>
        <w:spacing w:after="0"/>
        <w:ind w:left="1211" w:hanging="77"/>
        <w:jc w:val="both"/>
        <w:rPr>
          <w:color w:val="auto"/>
        </w:rPr>
      </w:pPr>
      <w:r>
        <w:rPr>
          <w:color w:val="auto"/>
        </w:rPr>
        <w:t xml:space="preserve">-  Príloha č. 4  </w:t>
      </w:r>
      <w:proofErr w:type="spellStart"/>
      <w:r>
        <w:rPr>
          <w:color w:val="auto"/>
        </w:rPr>
        <w:t>ZoD</w:t>
      </w:r>
      <w:proofErr w:type="spellEnd"/>
      <w:r>
        <w:rPr>
          <w:color w:val="auto"/>
        </w:rPr>
        <w:t xml:space="preserve">  -  </w:t>
      </w:r>
      <w:r w:rsidR="00F8149D" w:rsidRPr="002E547D">
        <w:rPr>
          <w:color w:val="auto"/>
        </w:rPr>
        <w:t>Zoznam subdodávateľov</w:t>
      </w:r>
    </w:p>
    <w:p w14:paraId="1D0BF3E9" w14:textId="77777777" w:rsidR="00F8149D" w:rsidRDefault="00F8149D" w:rsidP="00F8149D">
      <w:pPr>
        <w:pStyle w:val="Zkladntext1"/>
        <w:tabs>
          <w:tab w:val="left" w:pos="1015"/>
        </w:tabs>
        <w:spacing w:after="0"/>
        <w:ind w:left="850"/>
        <w:jc w:val="both"/>
        <w:rPr>
          <w:color w:val="auto"/>
        </w:rPr>
      </w:pPr>
    </w:p>
    <w:bookmarkEnd w:id="4"/>
    <w:p w14:paraId="6E98FDD8" w14:textId="2972738D" w:rsidR="00F8149D" w:rsidRPr="003104E2" w:rsidRDefault="00F8149D" w:rsidP="00F8149D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317273">
        <w:t>Uchádzač predloží v ponuke podľa § 34 ods. 1 písm. b)</w:t>
      </w:r>
      <w:r w:rsidR="00F2362D">
        <w:t xml:space="preserve"> ZVO</w:t>
      </w:r>
      <w:r>
        <w:t>, Referencie podľa bodu 1</w:t>
      </w:r>
      <w:r w:rsidR="00F2362D">
        <w:t>5</w:t>
      </w:r>
      <w:r>
        <w:t xml:space="preserve">.1. tejto výzvy  </w:t>
      </w:r>
    </w:p>
    <w:p w14:paraId="160F55A6" w14:textId="3D5EF985" w:rsidR="00F8149D" w:rsidRPr="00F2362D" w:rsidRDefault="00F2362D" w:rsidP="00F2362D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 w:hanging="425"/>
        <w:jc w:val="both"/>
        <w:rPr>
          <w:bCs/>
          <w:color w:val="auto"/>
        </w:rPr>
      </w:pPr>
      <w:bookmarkStart w:id="5" w:name="_Hlk81162955"/>
      <w:r w:rsidRPr="00F2362D">
        <w:rPr>
          <w:bCs/>
        </w:rPr>
        <w:t xml:space="preserve">Uchádzač </w:t>
      </w:r>
      <w:r>
        <w:rPr>
          <w:bCs/>
        </w:rPr>
        <w:t>predloží</w:t>
      </w:r>
      <w:bookmarkEnd w:id="5"/>
      <w:r>
        <w:rPr>
          <w:bCs/>
        </w:rPr>
        <w:t xml:space="preserve"> </w:t>
      </w:r>
      <w:r w:rsidRPr="00F2362D">
        <w:rPr>
          <w:bCs/>
        </w:rPr>
        <w:t xml:space="preserve">Certifikát partnera verejného sektora,  osvedčenie </w:t>
      </w:r>
      <w:r w:rsidR="006C3288">
        <w:rPr>
          <w:bCs/>
        </w:rPr>
        <w:t>podľa bodu 15.1 tejto výzvy</w:t>
      </w:r>
    </w:p>
    <w:p w14:paraId="65557FDE" w14:textId="01F12D76" w:rsidR="00F8149D" w:rsidRDefault="006C3288" w:rsidP="00F8149D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6C3288">
        <w:rPr>
          <w:color w:val="auto"/>
        </w:rPr>
        <w:t xml:space="preserve">Uchádzač predloží </w:t>
      </w:r>
      <w:r>
        <w:rPr>
          <w:color w:val="auto"/>
        </w:rPr>
        <w:t>d</w:t>
      </w:r>
      <w:r w:rsidR="00F8149D" w:rsidRPr="00D971D1">
        <w:rPr>
          <w:color w:val="auto"/>
        </w:rPr>
        <w:t xml:space="preserve">oklady </w:t>
      </w:r>
      <w:r w:rsidR="00F8149D">
        <w:rPr>
          <w:color w:val="auto"/>
        </w:rPr>
        <w:t>požadované v zmysle výzvy na predkladanie ponúk (</w:t>
      </w:r>
      <w:r>
        <w:rPr>
          <w:color w:val="auto"/>
        </w:rPr>
        <w:t xml:space="preserve"> </w:t>
      </w:r>
      <w:r w:rsidR="00F8149D">
        <w:rPr>
          <w:color w:val="auto"/>
        </w:rPr>
        <w:t xml:space="preserve">bod </w:t>
      </w:r>
      <w:r>
        <w:rPr>
          <w:color w:val="auto"/>
        </w:rPr>
        <w:t xml:space="preserve"> 13, </w:t>
      </w:r>
      <w:r w:rsidR="00F8149D">
        <w:rPr>
          <w:color w:val="auto"/>
        </w:rPr>
        <w:t>14, 15</w:t>
      </w:r>
      <w:r>
        <w:rPr>
          <w:color w:val="auto"/>
        </w:rPr>
        <w:t xml:space="preserve"> ) tejto výzvy.</w:t>
      </w:r>
      <w:r w:rsidR="00F8149D">
        <w:rPr>
          <w:color w:val="auto"/>
        </w:rPr>
        <w:t xml:space="preserve"> </w:t>
      </w:r>
    </w:p>
    <w:p w14:paraId="1C175B31" w14:textId="77777777" w:rsidR="00A71710" w:rsidRPr="00E61539" w:rsidRDefault="00A71710" w:rsidP="00A71710">
      <w:pPr>
        <w:ind w:firstLine="708"/>
        <w:jc w:val="both"/>
        <w:rPr>
          <w:rFonts w:ascii="Times New Roman" w:hAnsi="Times New Roman" w:cs="Times New Roman"/>
          <w:bCs/>
          <w:i/>
          <w:color w:val="FF0000"/>
        </w:rPr>
      </w:pPr>
    </w:p>
    <w:p w14:paraId="47121DB9" w14:textId="77777777" w:rsidR="001F762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14:paraId="1D0B2185" w14:textId="77777777" w:rsidR="006B3D0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14:paraId="4F11A097" w14:textId="77777777" w:rsidR="001F7625" w:rsidRPr="00E61539" w:rsidRDefault="001F7625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</w:t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 xml:space="preserve">Podpis: ............................................ </w:t>
      </w:r>
    </w:p>
    <w:p w14:paraId="724AA050" w14:textId="77777777" w:rsidR="001F7625" w:rsidRPr="000912DA" w:rsidRDefault="000912DA" w:rsidP="001F76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33F506A3" w14:textId="77777777" w:rsidR="000912DA" w:rsidRPr="00E61539" w:rsidRDefault="000912DA" w:rsidP="00C815F4">
      <w:pPr>
        <w:pBdr>
          <w:bottom w:val="single" w:sz="6" w:space="1" w:color="auto"/>
        </w:pBdr>
        <w:spacing w:before="360" w:after="0" w:line="240" w:lineRule="auto"/>
        <w:ind w:firstLine="346"/>
        <w:jc w:val="both"/>
        <w:rPr>
          <w:rFonts w:ascii="Times New Roman" w:eastAsiaTheme="minorEastAsia" w:hAnsi="Times New Roman" w:cs="Times New Roman"/>
        </w:rPr>
      </w:pPr>
    </w:p>
    <w:p w14:paraId="5A0C7281" w14:textId="77777777" w:rsidR="006B3D05" w:rsidRPr="00E61539" w:rsidRDefault="000912DA" w:rsidP="00D505DF">
      <w:pPr>
        <w:spacing w:after="24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 w:rsidRPr="000912DA"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6B3D05" w:rsidRPr="00E61539" w:rsidSect="00014DFE">
      <w:footerReference w:type="default" r:id="rId9"/>
      <w:footerReference w:type="first" r:id="rId10"/>
      <w:pgSz w:w="11906" w:h="16838"/>
      <w:pgMar w:top="709" w:right="1417" w:bottom="1134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30F5F" w14:textId="77777777" w:rsidR="00963393" w:rsidRDefault="00963393" w:rsidP="00A93F1D">
      <w:pPr>
        <w:spacing w:after="0" w:line="240" w:lineRule="auto"/>
      </w:pPr>
      <w:r>
        <w:separator/>
      </w:r>
    </w:p>
  </w:endnote>
  <w:endnote w:type="continuationSeparator" w:id="0">
    <w:p w14:paraId="06A7ED4C" w14:textId="77777777" w:rsidR="00963393" w:rsidRDefault="00963393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CA459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14:paraId="6C59C55E" w14:textId="77777777" w:rsidR="00FF4CBB" w:rsidRPr="00FF4CBB" w:rsidRDefault="00FF4CBB" w:rsidP="00FF4CBB">
    <w:pPr>
      <w:spacing w:after="0"/>
      <w:ind w:left="717"/>
      <w:contextualSpacing/>
      <w:jc w:val="center"/>
      <w:rPr>
        <w:rFonts w:ascii="Times New Roman" w:eastAsia="Times New Roman" w:hAnsi="Times New Roman" w:cs="Times New Roman"/>
        <w:b/>
        <w:color w:val="D9D9D9" w:themeColor="background1" w:themeShade="D9"/>
        <w:lang w:eastAsia="cs-CZ"/>
      </w:rPr>
    </w:pPr>
  </w:p>
  <w:p w14:paraId="4AF59B96" w14:textId="131E5173" w:rsidR="00283778" w:rsidRPr="00F8149D" w:rsidRDefault="0084072B" w:rsidP="006B3D05">
    <w:pPr>
      <w:jc w:val="center"/>
      <w:rPr>
        <w:rFonts w:ascii="Times New Roman" w:hAnsi="Times New Roman" w:cs="Times New Roman"/>
        <w:b/>
        <w:color w:val="A6A6A6" w:themeColor="background1" w:themeShade="A6"/>
      </w:rPr>
    </w:pPr>
    <w:r>
      <w:rPr>
        <w:rFonts w:ascii="Times New Roman" w:hAnsi="Times New Roman" w:cs="Times New Roman"/>
        <w:b/>
        <w:color w:val="A6A6A6" w:themeColor="background1" w:themeShade="A6"/>
      </w:rPr>
      <w:t>„</w:t>
    </w:r>
    <w:r w:rsidR="00014DFE" w:rsidRPr="00014DFE">
      <w:rPr>
        <w:rFonts w:ascii="Times New Roman" w:hAnsi="Times New Roman" w:cs="Times New Roman"/>
        <w:b/>
        <w:color w:val="A6A6A6" w:themeColor="background1" w:themeShade="A6"/>
      </w:rPr>
      <w:t>Rozvoj Šrobárovho námestia a priľahlého okolia, Bratislava – I. Etapa</w:t>
    </w:r>
    <w:r>
      <w:rPr>
        <w:rFonts w:ascii="Times New Roman" w:hAnsi="Times New Roman" w:cs="Times New Roman"/>
        <w:b/>
        <w:color w:val="A6A6A6" w:themeColor="background1" w:themeShade="A6"/>
      </w:rPr>
      <w:t>“</w:t>
    </w:r>
    <w:r w:rsidR="00F8149D" w:rsidRPr="00F8149D">
      <w:rPr>
        <w:rFonts w:ascii="Times New Roman" w:hAnsi="Times New Roman" w:cs="Times New Roman"/>
        <w:b/>
        <w:color w:val="A6A6A6" w:themeColor="background1" w:themeShade="A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F3373" w14:textId="77777777"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14:paraId="35A5744E" w14:textId="77777777"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DC106" w14:textId="77777777" w:rsidR="00963393" w:rsidRDefault="00963393" w:rsidP="00A93F1D">
      <w:pPr>
        <w:spacing w:after="0" w:line="240" w:lineRule="auto"/>
      </w:pPr>
      <w:r>
        <w:separator/>
      </w:r>
    </w:p>
  </w:footnote>
  <w:footnote w:type="continuationSeparator" w:id="0">
    <w:p w14:paraId="72548578" w14:textId="77777777" w:rsidR="00963393" w:rsidRDefault="00963393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06939AF"/>
    <w:multiLevelType w:val="hybridMultilevel"/>
    <w:tmpl w:val="4486351E"/>
    <w:lvl w:ilvl="0" w:tplc="D682E72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8">
    <w:nsid w:val="26BC287D"/>
    <w:multiLevelType w:val="hybridMultilevel"/>
    <w:tmpl w:val="1F1E46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nsid w:val="4AFA1044"/>
    <w:multiLevelType w:val="multilevel"/>
    <w:tmpl w:val="47CA95DC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3"/>
  </w:num>
  <w:num w:numId="9">
    <w:abstractNumId w:val="1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14DFE"/>
    <w:rsid w:val="0002462C"/>
    <w:rsid w:val="00045D67"/>
    <w:rsid w:val="00057011"/>
    <w:rsid w:val="000912DA"/>
    <w:rsid w:val="000A4351"/>
    <w:rsid w:val="000A478B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1AD5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3D05"/>
    <w:rsid w:val="006B7B84"/>
    <w:rsid w:val="006C3288"/>
    <w:rsid w:val="006C35B9"/>
    <w:rsid w:val="006C615A"/>
    <w:rsid w:val="00730363"/>
    <w:rsid w:val="00741E76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4072B"/>
    <w:rsid w:val="00886467"/>
    <w:rsid w:val="008951BB"/>
    <w:rsid w:val="008A219D"/>
    <w:rsid w:val="008C78F6"/>
    <w:rsid w:val="00931799"/>
    <w:rsid w:val="00952BEE"/>
    <w:rsid w:val="00963393"/>
    <w:rsid w:val="009A6CC4"/>
    <w:rsid w:val="009A7DC0"/>
    <w:rsid w:val="009B16EC"/>
    <w:rsid w:val="009D5060"/>
    <w:rsid w:val="00A03B78"/>
    <w:rsid w:val="00A10434"/>
    <w:rsid w:val="00A10BE1"/>
    <w:rsid w:val="00A12DEA"/>
    <w:rsid w:val="00A23793"/>
    <w:rsid w:val="00A30A86"/>
    <w:rsid w:val="00A31BB4"/>
    <w:rsid w:val="00A33336"/>
    <w:rsid w:val="00A40A18"/>
    <w:rsid w:val="00A45C07"/>
    <w:rsid w:val="00A51E65"/>
    <w:rsid w:val="00A52A75"/>
    <w:rsid w:val="00A71710"/>
    <w:rsid w:val="00A93F1D"/>
    <w:rsid w:val="00A94E43"/>
    <w:rsid w:val="00AA0537"/>
    <w:rsid w:val="00AA0E0A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BE0F18"/>
    <w:rsid w:val="00C30AA7"/>
    <w:rsid w:val="00C33912"/>
    <w:rsid w:val="00C43D3B"/>
    <w:rsid w:val="00C563E2"/>
    <w:rsid w:val="00C6748E"/>
    <w:rsid w:val="00C815F4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505DF"/>
    <w:rsid w:val="00D636BC"/>
    <w:rsid w:val="00DA3FAA"/>
    <w:rsid w:val="00DB4E05"/>
    <w:rsid w:val="00DB5443"/>
    <w:rsid w:val="00DC0238"/>
    <w:rsid w:val="00DC5337"/>
    <w:rsid w:val="00DE0BEC"/>
    <w:rsid w:val="00DF2829"/>
    <w:rsid w:val="00DF429A"/>
    <w:rsid w:val="00E0281F"/>
    <w:rsid w:val="00E26B0D"/>
    <w:rsid w:val="00E319D8"/>
    <w:rsid w:val="00E521CA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EF500C"/>
    <w:rsid w:val="00F1059B"/>
    <w:rsid w:val="00F1297C"/>
    <w:rsid w:val="00F2362D"/>
    <w:rsid w:val="00F2753C"/>
    <w:rsid w:val="00F37900"/>
    <w:rsid w:val="00F40CBD"/>
    <w:rsid w:val="00F51254"/>
    <w:rsid w:val="00F54284"/>
    <w:rsid w:val="00F553BD"/>
    <w:rsid w:val="00F627A1"/>
    <w:rsid w:val="00F8149D"/>
    <w:rsid w:val="00F90F04"/>
    <w:rsid w:val="00F97FF8"/>
    <w:rsid w:val="00FA7087"/>
    <w:rsid w:val="00FE258A"/>
    <w:rsid w:val="00FE2F43"/>
    <w:rsid w:val="00FF4CBB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82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2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3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4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5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8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9"/>
      </w:numPr>
    </w:pPr>
  </w:style>
  <w:style w:type="numbering" w:customStyle="1" w:styleId="tl3">
    <w:name w:val="Štýl3"/>
    <w:uiPriority w:val="99"/>
    <w:rsid w:val="00F97FF8"/>
    <w:pPr>
      <w:numPr>
        <w:numId w:val="10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2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3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4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5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8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9"/>
      </w:numPr>
    </w:pPr>
  </w:style>
  <w:style w:type="numbering" w:customStyle="1" w:styleId="tl3">
    <w:name w:val="Štýl3"/>
    <w:uiPriority w:val="99"/>
    <w:rsid w:val="00F97FF8"/>
    <w:pPr>
      <w:numPr>
        <w:numId w:val="10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14D4-B921-4F07-B56E-CA9ECA96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Eva Alexiová</cp:lastModifiedBy>
  <cp:revision>2</cp:revision>
  <cp:lastPrinted>2020-10-02T09:19:00Z</cp:lastPrinted>
  <dcterms:created xsi:type="dcterms:W3CDTF">2021-09-30T06:48:00Z</dcterms:created>
  <dcterms:modified xsi:type="dcterms:W3CDTF">2021-09-30T06:48:00Z</dcterms:modified>
</cp:coreProperties>
</file>