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3E64F9FD"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D26C2C">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F334EF">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DF0AB8">
        <w:rPr>
          <w:rFonts w:ascii="Garamond" w:hAnsi="Garamond"/>
          <w:sz w:val="20"/>
          <w:szCs w:val="20"/>
          <w:lang w:eastAsia="cs-CZ"/>
        </w:rPr>
        <w:t>1128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F334EF" w:rsidRPr="00096990">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42D729EA"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027FF547"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9E767E">
        <w:rPr>
          <w:rFonts w:ascii="Garamond" w:hAnsi="Garamond"/>
          <w:sz w:val="20"/>
          <w:szCs w:val="20"/>
        </w:rPr>
        <w:t>2</w:t>
      </w:r>
      <w:r w:rsidR="006C512E">
        <w:rPr>
          <w:rFonts w:ascii="Garamond" w:hAnsi="Garamond"/>
          <w:sz w:val="20"/>
          <w:szCs w:val="20"/>
        </w:rPr>
        <w:t xml:space="preserve">: </w:t>
      </w:r>
      <w:r w:rsidR="00121118">
        <w:rPr>
          <w:rFonts w:ascii="Garamond" w:hAnsi="Garamond"/>
          <w:sz w:val="20"/>
          <w:szCs w:val="20"/>
        </w:rPr>
        <w:t>„</w:t>
      </w:r>
      <w:r w:rsidR="009C698F" w:rsidRPr="009C698F">
        <w:rPr>
          <w:rFonts w:ascii="Garamond" w:hAnsi="Garamond"/>
          <w:b/>
          <w:bCs/>
          <w:sz w:val="20"/>
          <w:szCs w:val="20"/>
        </w:rPr>
        <w:t>Malé úžitkové vozidlo – sklápač do 3,5 t</w:t>
      </w:r>
      <w:r w:rsidR="009C698F">
        <w:rPr>
          <w:rFonts w:ascii="Garamond" w:hAnsi="Garamond"/>
          <w:sz w:val="20"/>
          <w:szCs w:val="20"/>
        </w:rPr>
        <w:t>“</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47B91883"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sidR="00183DCF">
        <w:rPr>
          <w:rFonts w:ascii="Garamond" w:hAnsi="Garamond"/>
          <w:sz w:val="20"/>
          <w:szCs w:val="20"/>
        </w:rPr>
        <w:t xml:space="preserve"> malé úžitkové vozidlo – sklápač do 3,5 t</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501C9820"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F334EF">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3A43D73B"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5E193EB4" w:rsidR="00755092" w:rsidRDefault="004171B0"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D26C2C">
        <w:rPr>
          <w:rFonts w:ascii="Garamond" w:hAnsi="Garamond" w:cs="Arial"/>
          <w:sz w:val="20"/>
          <w:szCs w:val="20"/>
          <w:lang w:eastAsia="ar-SA"/>
        </w:rPr>
        <w:t>a</w:t>
      </w:r>
      <w:r w:rsidR="00163AAB" w:rsidRPr="00D25BF9">
        <w:rPr>
          <w:rFonts w:ascii="Garamond" w:hAnsi="Garamond" w:cs="Arial"/>
          <w:sz w:val="20"/>
          <w:szCs w:val="20"/>
          <w:lang w:eastAsia="ar-SA"/>
        </w:rPr>
        <w:t>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F334EF">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F334EF">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F334EF">
      <w:pPr>
        <w:keepNext/>
        <w:keepLines/>
        <w:spacing w:after="0" w:line="240" w:lineRule="auto"/>
        <w:rPr>
          <w:rFonts w:ascii="Garamond" w:hAnsi="Garamond" w:cs="Arial"/>
          <w:sz w:val="20"/>
          <w:szCs w:val="20"/>
          <w:lang w:eastAsia="ar-SA"/>
        </w:rPr>
      </w:pPr>
    </w:p>
    <w:p w14:paraId="77E59B12" w14:textId="4BF31F90" w:rsidR="00BB1E06" w:rsidRPr="00D25BF9" w:rsidRDefault="00BB1E06" w:rsidP="00F334EF">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F334EF">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45C7521D" w:rsidR="00BB1E06" w:rsidRDefault="00450041" w:rsidP="00F334EF">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EC09EA">
        <w:rPr>
          <w:rFonts w:ascii="Garamond" w:hAnsi="Garamond"/>
          <w:b/>
          <w:bCs/>
          <w:sz w:val="20"/>
          <w:szCs w:val="20"/>
        </w:rPr>
        <w:t>7</w:t>
      </w:r>
      <w:r w:rsidR="00717DFC">
        <w:rPr>
          <w:rFonts w:ascii="Garamond" w:hAnsi="Garamond"/>
          <w:b/>
          <w:bCs/>
          <w:sz w:val="20"/>
          <w:szCs w:val="20"/>
        </w:rPr>
        <w:t xml:space="preserve"> (</w:t>
      </w:r>
      <w:r w:rsidR="00EC09EA">
        <w:rPr>
          <w:rFonts w:ascii="Garamond" w:hAnsi="Garamond"/>
          <w:b/>
          <w:bCs/>
          <w:sz w:val="20"/>
          <w:szCs w:val="20"/>
        </w:rPr>
        <w:t>siedmich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F334EF">
      <w:pPr>
        <w:pStyle w:val="Odsekzoznamu"/>
        <w:keepNext/>
        <w:keepLines/>
        <w:spacing w:after="0" w:line="240" w:lineRule="auto"/>
        <w:jc w:val="both"/>
        <w:rPr>
          <w:rFonts w:ascii="Garamond" w:hAnsi="Garamond"/>
          <w:sz w:val="20"/>
          <w:szCs w:val="20"/>
        </w:rPr>
      </w:pPr>
    </w:p>
    <w:p w14:paraId="23532F88" w14:textId="4A427C95" w:rsidR="002E3767" w:rsidRPr="00F334EF" w:rsidRDefault="00450041" w:rsidP="00F334E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F334EF">
      <w:pPr>
        <w:keepNext/>
        <w:keepLines/>
        <w:spacing w:after="0" w:line="240" w:lineRule="auto"/>
        <w:jc w:val="both"/>
        <w:rPr>
          <w:rFonts w:ascii="Garamond" w:hAnsi="Garamond"/>
          <w:sz w:val="20"/>
          <w:szCs w:val="20"/>
        </w:rPr>
      </w:pPr>
    </w:p>
    <w:p w14:paraId="42634933" w14:textId="634D8F95" w:rsidR="00BB1E06" w:rsidRPr="00D25BF9" w:rsidRDefault="00156728" w:rsidP="00F334E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F334EF">
      <w:pPr>
        <w:keepNext/>
        <w:keepLines/>
        <w:spacing w:after="0" w:line="240" w:lineRule="auto"/>
        <w:jc w:val="both"/>
        <w:rPr>
          <w:rFonts w:ascii="Garamond" w:hAnsi="Garamond"/>
          <w:sz w:val="20"/>
          <w:szCs w:val="20"/>
        </w:rPr>
      </w:pPr>
    </w:p>
    <w:p w14:paraId="5CA2ECBB" w14:textId="06A5C668" w:rsidR="00BB1E06" w:rsidRPr="00D25BF9" w:rsidRDefault="00BB1E06" w:rsidP="00F334EF">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F334EF">
      <w:pPr>
        <w:keepNext/>
        <w:keepLines/>
        <w:spacing w:after="0" w:line="240" w:lineRule="auto"/>
        <w:jc w:val="both"/>
        <w:rPr>
          <w:rFonts w:ascii="Garamond" w:hAnsi="Garamond"/>
          <w:color w:val="FF0000"/>
          <w:sz w:val="20"/>
          <w:szCs w:val="20"/>
        </w:rPr>
      </w:pPr>
    </w:p>
    <w:p w14:paraId="141AEF62" w14:textId="01F88769" w:rsidR="006C22D8" w:rsidRDefault="00233C50" w:rsidP="00F334E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EF1A74">
        <w:rPr>
          <w:rFonts w:ascii="Garamond" w:hAnsi="Garamond"/>
          <w:sz w:val="20"/>
          <w:szCs w:val="20"/>
        </w:rPr>
        <w:t>,</w:t>
      </w:r>
      <w:r w:rsidR="00D26C2C">
        <w:rPr>
          <w:rFonts w:ascii="Garamond" w:hAnsi="Garamond"/>
          <w:sz w:val="20"/>
          <w:szCs w:val="20"/>
        </w:rPr>
        <w:t xml:space="preserve"> najmä technický preukaz</w:t>
      </w:r>
      <w:r w:rsidRPr="007D50A7">
        <w:rPr>
          <w:rFonts w:ascii="Garamond" w:hAnsi="Garamond"/>
          <w:sz w:val="20"/>
          <w:szCs w:val="20"/>
        </w:rPr>
        <w:t xml:space="preserve">; </w:t>
      </w:r>
    </w:p>
    <w:p w14:paraId="5CC860EB" w14:textId="77777777" w:rsidR="00FD6EFF" w:rsidRPr="006C22D8" w:rsidRDefault="00FD6EFF" w:rsidP="00F334EF">
      <w:pPr>
        <w:pStyle w:val="Odsekzoznamu"/>
        <w:keepNext/>
        <w:keepLines/>
        <w:spacing w:after="0" w:line="240" w:lineRule="auto"/>
        <w:ind w:left="1440"/>
        <w:jc w:val="both"/>
        <w:rPr>
          <w:rFonts w:ascii="Garamond" w:hAnsi="Garamond"/>
          <w:sz w:val="20"/>
          <w:szCs w:val="20"/>
        </w:rPr>
      </w:pPr>
    </w:p>
    <w:p w14:paraId="0BBE0F5A" w14:textId="77777777" w:rsidR="00D26C2C" w:rsidRDefault="00FD6EFF" w:rsidP="00F334E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D26C2C">
        <w:rPr>
          <w:rFonts w:ascii="Garamond" w:hAnsi="Garamond"/>
          <w:sz w:val="20"/>
          <w:szCs w:val="20"/>
        </w:rPr>
        <w:t xml:space="preserve"> v slovenskom jazyku;</w:t>
      </w:r>
    </w:p>
    <w:p w14:paraId="155FB203" w14:textId="77777777" w:rsidR="00D26C2C" w:rsidRPr="00D26C2C" w:rsidRDefault="00D26C2C" w:rsidP="00D26C2C">
      <w:pPr>
        <w:pStyle w:val="Odsekzoznamu"/>
        <w:rPr>
          <w:rFonts w:ascii="Garamond" w:hAnsi="Garamond"/>
          <w:sz w:val="20"/>
          <w:szCs w:val="20"/>
        </w:rPr>
      </w:pPr>
    </w:p>
    <w:p w14:paraId="3CA2384C" w14:textId="06E73034" w:rsidR="006C22D8" w:rsidRDefault="00D26C2C" w:rsidP="00F334E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F334EF">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F334E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F334EF">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F334EF">
      <w:pPr>
        <w:pStyle w:val="Odsekzoznamu"/>
        <w:keepNext/>
        <w:keepLines/>
        <w:spacing w:after="0" w:line="240" w:lineRule="auto"/>
        <w:ind w:left="1800"/>
        <w:jc w:val="both"/>
        <w:rPr>
          <w:rFonts w:ascii="Garamond" w:hAnsi="Garamond" w:cs="Arial"/>
          <w:sz w:val="20"/>
          <w:szCs w:val="20"/>
        </w:rPr>
      </w:pPr>
    </w:p>
    <w:p w14:paraId="1AADE0F8" w14:textId="0F715A05" w:rsidR="00BB1E06" w:rsidRPr="00D25BF9" w:rsidRDefault="00745FD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334EF">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F334EF">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F334EF">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F334EF">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F334EF">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F334EF">
      <w:pPr>
        <w:keepNext/>
        <w:keepLines/>
        <w:spacing w:after="0" w:line="240" w:lineRule="auto"/>
        <w:jc w:val="both"/>
        <w:rPr>
          <w:rFonts w:ascii="Garamond" w:eastAsia="Calibri" w:hAnsi="Garamond"/>
          <w:sz w:val="20"/>
          <w:szCs w:val="20"/>
        </w:rPr>
      </w:pPr>
    </w:p>
    <w:p w14:paraId="1C1B0D3F" w14:textId="30EE167A" w:rsidR="00BB1E06" w:rsidRPr="00D25BF9" w:rsidRDefault="00745FD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334EF">
        <w:rPr>
          <w:rFonts w:ascii="Garamond" w:eastAsia="Calibri" w:hAnsi="Garamond"/>
          <w:sz w:val="20"/>
          <w:szCs w:val="20"/>
        </w:rPr>
        <w:t>.</w:t>
      </w:r>
      <w:r w:rsidR="00773E9C">
        <w:rPr>
          <w:rFonts w:ascii="Garamond" w:eastAsia="Calibri" w:hAnsi="Garamond"/>
          <w:sz w:val="20"/>
          <w:szCs w:val="20"/>
        </w:rPr>
        <w:t> </w:t>
      </w:r>
      <w:r w:rsidR="00F334EF">
        <w:rPr>
          <w:rFonts w:ascii="Garamond" w:eastAsia="Calibri" w:hAnsi="Garamond"/>
          <w:sz w:val="20"/>
          <w:szCs w:val="20"/>
        </w:rPr>
        <w:t>P</w:t>
      </w:r>
      <w:r w:rsidR="00773E9C">
        <w:rPr>
          <w:rFonts w:ascii="Garamond" w:eastAsia="Calibri" w:hAnsi="Garamond"/>
          <w:sz w:val="20"/>
          <w:szCs w:val="20"/>
        </w:rPr>
        <w:t xml:space="preserve">o odstránení </w:t>
      </w:r>
      <w:r w:rsidR="00F334EF">
        <w:rPr>
          <w:rFonts w:ascii="Garamond" w:eastAsia="Calibri" w:hAnsi="Garamond"/>
          <w:sz w:val="20"/>
          <w:szCs w:val="20"/>
        </w:rPr>
        <w:t xml:space="preserve">vád uvedených podľa tohto článku bod 3.4 Zmluvy Predávajúci </w:t>
      </w:r>
      <w:r w:rsidR="00773E9C">
        <w:rPr>
          <w:rFonts w:ascii="Garamond" w:eastAsia="Calibri" w:hAnsi="Garamond"/>
          <w:sz w:val="20"/>
          <w:szCs w:val="20"/>
        </w:rPr>
        <w:t>vyzv</w:t>
      </w:r>
      <w:r w:rsidR="00F334EF">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w:t>
      </w:r>
      <w:r w:rsidR="00F334EF">
        <w:rPr>
          <w:rFonts w:ascii="Garamond" w:eastAsia="Calibri" w:hAnsi="Garamond"/>
          <w:sz w:val="20"/>
          <w:szCs w:val="20"/>
        </w:rPr>
        <w:t xml:space="preserve">dátumu </w:t>
      </w:r>
      <w:r w:rsidR="00773E9C">
        <w:rPr>
          <w:rFonts w:ascii="Garamond" w:eastAsia="Calibri" w:hAnsi="Garamond"/>
          <w:sz w:val="20"/>
          <w:szCs w:val="20"/>
        </w:rPr>
        <w:t>odovzdania a</w:t>
      </w:r>
      <w:r w:rsidR="00F334EF">
        <w:rPr>
          <w:rFonts w:ascii="Garamond" w:eastAsia="Calibri" w:hAnsi="Garamond"/>
          <w:sz w:val="20"/>
          <w:szCs w:val="20"/>
        </w:rPr>
        <w:t> </w:t>
      </w:r>
      <w:r w:rsidR="00773E9C">
        <w:rPr>
          <w:rFonts w:ascii="Garamond" w:eastAsia="Calibri" w:hAnsi="Garamond"/>
          <w:sz w:val="20"/>
          <w:szCs w:val="20"/>
        </w:rPr>
        <w:t>prevzatia</w:t>
      </w:r>
      <w:r w:rsidR="00F334EF">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F334EF">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F334EF">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6E6DF087" w:rsidR="00A40DC8" w:rsidRPr="00D25BF9" w:rsidRDefault="00A40DC8" w:rsidP="00F334EF">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 xml:space="preserve"> 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w:t>
      </w:r>
      <w:r w:rsidR="0092714D">
        <w:rPr>
          <w:rFonts w:ascii="Garamond" w:hAnsi="Garamond"/>
          <w:sz w:val="20"/>
          <w:szCs w:val="20"/>
        </w:rPr>
        <w:t xml:space="preserve"> v súlade s týmto článkom bod 3.6 Zmluvy, </w:t>
      </w:r>
      <w:r w:rsidR="008E2E21">
        <w:rPr>
          <w:rFonts w:ascii="Garamond" w:hAnsi="Garamond"/>
          <w:sz w:val="20"/>
          <w:szCs w:val="20"/>
        </w:rPr>
        <w:t xml:space="preserve">podpíše Kupujúci po splnení povinnosti Predávajúceho uvedenej v tomto </w:t>
      </w:r>
      <w:r w:rsidR="008E2E21" w:rsidRPr="00F334EF">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F334EF">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F334EF">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F334EF">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F334EF">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F334EF">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7C13BA4E" w:rsidR="005B22B0" w:rsidRPr="005B22B0" w:rsidRDefault="00013130"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F334EF">
        <w:rPr>
          <w:rFonts w:ascii="Garamond" w:hAnsi="Garamond"/>
          <w:sz w:val="20"/>
          <w:szCs w:val="20"/>
        </w:rPr>
        <w:t xml:space="preserve"> v spojení ms článkom 3 bod 3.6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64DAD027" w:rsidR="00AB4D92" w:rsidRPr="00F334EF" w:rsidRDefault="00013130"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314A12C6" w:rsidR="00F446ED" w:rsidRPr="00B47591"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2D9B08EA"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D26C2C">
        <w:rPr>
          <w:rFonts w:ascii="Garamond" w:hAnsi="Garamond"/>
          <w:sz w:val="20"/>
          <w:szCs w:val="20"/>
        </w:rPr>
        <w:t>2</w:t>
      </w:r>
      <w:r w:rsidR="00F446ED" w:rsidRPr="00F446ED">
        <w:rPr>
          <w:rFonts w:ascii="Garamond" w:hAnsi="Garamond"/>
          <w:sz w:val="20"/>
          <w:szCs w:val="20"/>
        </w:rPr>
        <w:t xml:space="preserve">00 EUR (slovom: </w:t>
      </w:r>
      <w:r w:rsidR="00D26C2C">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38A26454"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akosti</w:t>
      </w:r>
      <w:r w:rsidR="00F334EF">
        <w:rPr>
          <w:rFonts w:ascii="Garamond" w:eastAsia="Calibri" w:hAnsi="Garamond"/>
          <w:sz w:val="20"/>
          <w:szCs w:val="20"/>
        </w:rPr>
        <w:t xml:space="preserve"> a za podmienok dohodnutých v Zmluve</w:t>
      </w:r>
      <w:r w:rsidR="00BB7046">
        <w:rPr>
          <w:rFonts w:ascii="Garamond" w:eastAsia="Calibri" w:hAnsi="Garamond"/>
          <w:sz w:val="20"/>
          <w:szCs w:val="20"/>
        </w:rPr>
        <w:t xml:space="preserve"> </w:t>
      </w:r>
      <w:r w:rsidR="00013130" w:rsidRPr="00F446ED">
        <w:rPr>
          <w:rFonts w:ascii="Garamond" w:eastAsia="Calibri" w:hAnsi="Garamond"/>
          <w:sz w:val="20"/>
          <w:szCs w:val="20"/>
        </w:rPr>
        <w:t>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53D3E06A"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F334EF">
        <w:rPr>
          <w:rFonts w:ascii="Garamond" w:hAnsi="Garamond"/>
          <w:sz w:val="20"/>
          <w:szCs w:val="20"/>
        </w:rPr>
        <w:t xml:space="preserve">uvedených v Zmluve </w:t>
      </w:r>
      <w:r w:rsidRPr="00CA1F2E">
        <w:rPr>
          <w:rFonts w:ascii="Garamond" w:hAnsi="Garamond"/>
          <w:sz w:val="20"/>
          <w:szCs w:val="20"/>
        </w:rPr>
        <w:t>alebo povinnos</w:t>
      </w:r>
      <w:r w:rsidR="00F334EF">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lastRenderedPageBreak/>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BD2C405"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F334EF">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4F733622"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 xml:space="preserve">Predávajúci poruší ktorúkoľvek z povinností týkajúcej sa Subdodávateľov alebo ich zmeny podľa ZVO a/alebo podľa článku 7 </w:t>
      </w:r>
      <w:r w:rsidR="007010E0">
        <w:rPr>
          <w:rFonts w:ascii="Garamond" w:hAnsi="Garamond"/>
          <w:sz w:val="20"/>
          <w:szCs w:val="20"/>
        </w:rPr>
        <w:t xml:space="preserve">a 11 </w:t>
      </w:r>
      <w:r>
        <w:rPr>
          <w:rFonts w:ascii="Garamond" w:hAnsi="Garamond"/>
          <w:sz w:val="20"/>
          <w:szCs w:val="20"/>
        </w:rPr>
        <w:t>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D77CFA">
      <w:pPr>
        <w:keepNext/>
        <w:keepLines/>
        <w:tabs>
          <w:tab w:val="left" w:pos="426"/>
        </w:tabs>
        <w:spacing w:after="0" w:line="240" w:lineRule="auto"/>
        <w:jc w:val="center"/>
        <w:rPr>
          <w:rFonts w:ascii="Garamond" w:hAnsi="Garamond" w:cs="Arial"/>
          <w:b/>
          <w:sz w:val="20"/>
          <w:szCs w:val="20"/>
        </w:rPr>
      </w:pPr>
    </w:p>
    <w:p w14:paraId="57D412E6" w14:textId="77777777" w:rsidR="009C698F" w:rsidRPr="009C698F" w:rsidRDefault="009C698F" w:rsidP="00D77CFA">
      <w:pPr>
        <w:keepNext/>
        <w:keepLines/>
        <w:spacing w:after="0" w:line="240" w:lineRule="auto"/>
        <w:rPr>
          <w:rFonts w:ascii="Garamond" w:eastAsia="Times New Roman" w:hAnsi="Garamond" w:cs="Times New Roman"/>
          <w:b/>
          <w:bCs/>
        </w:rPr>
      </w:pPr>
      <w:r w:rsidRPr="009C698F">
        <w:rPr>
          <w:rFonts w:ascii="Garamond" w:eastAsia="Times New Roman" w:hAnsi="Garamond" w:cs="Times New Roman"/>
          <w:b/>
          <w:bCs/>
        </w:rPr>
        <w:t>Malé úžitkové vozidlo – sklápač do 3,5t</w:t>
      </w:r>
    </w:p>
    <w:p w14:paraId="7DE5E61B" w14:textId="77777777" w:rsidR="009C698F" w:rsidRPr="009C698F" w:rsidRDefault="009C698F" w:rsidP="00D77CFA">
      <w:pPr>
        <w:keepNext/>
        <w:keepLines/>
        <w:spacing w:after="160" w:line="259" w:lineRule="auto"/>
        <w:rPr>
          <w:rFonts w:ascii="Garamond" w:eastAsia="Calibri" w:hAnsi="Garamond" w:cs="Times New Roman"/>
          <w:lang w:eastAsia="en-US"/>
        </w:rPr>
      </w:pPr>
      <w:r w:rsidRPr="009C698F">
        <w:rPr>
          <w:rFonts w:ascii="Garamond" w:eastAsia="Calibri" w:hAnsi="Garamond" w:cs="Times New Roman"/>
          <w:lang w:eastAsia="en-US"/>
        </w:rPr>
        <w:t xml:space="preserve">- trojmiestne vozidlo s celkovou hmotnosťou do 3,5 tony a so sklápacou nadstavbou </w:t>
      </w:r>
    </w:p>
    <w:p w14:paraId="77B990D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 xml:space="preserve">Motor konštrukcia: štvorvalec </w:t>
      </w:r>
    </w:p>
    <w:p w14:paraId="24F7869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Palivo: Nafta motorová</w:t>
      </w:r>
    </w:p>
    <w:p w14:paraId="46F41984"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Emisia: EURO 6</w:t>
      </w:r>
    </w:p>
    <w:p w14:paraId="1D83A6AF"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Zdvihový objem (cm3): od 2 000 do 2 500</w:t>
      </w:r>
    </w:p>
    <w:p w14:paraId="5E9E573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Výkon (kW): min 110</w:t>
      </w:r>
    </w:p>
    <w:p w14:paraId="7B8502C4"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Prevodovka: manuálna</w:t>
      </w:r>
    </w:p>
    <w:p w14:paraId="38C809F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Počet prevodových stupňov: 6 rýchlostná, manuálna</w:t>
      </w:r>
    </w:p>
    <w:p w14:paraId="6D33572B"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Brzdy: kotúčové, ABS</w:t>
      </w:r>
    </w:p>
    <w:p w14:paraId="65A3F1E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Pneumatiky: 16´´, celoročné (M+S)</w:t>
      </w:r>
    </w:p>
    <w:p w14:paraId="5D84DAC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Poháňanie kolies: min. jedna náprava</w:t>
      </w:r>
    </w:p>
    <w:p w14:paraId="4CC8E6CB"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Počet miest na sedenie: 3</w:t>
      </w:r>
    </w:p>
    <w:p w14:paraId="524ADAED" w14:textId="77777777" w:rsidR="009C698F" w:rsidRPr="009C698F" w:rsidRDefault="009C698F" w:rsidP="00D77CFA">
      <w:pPr>
        <w:keepNext/>
        <w:keepLines/>
        <w:spacing w:after="0" w:line="240" w:lineRule="auto"/>
        <w:rPr>
          <w:rFonts w:ascii="Garamond" w:eastAsia="Times New Roman" w:hAnsi="Garamond" w:cs="Times New Roman"/>
          <w:color w:val="FF0000"/>
        </w:rPr>
      </w:pPr>
    </w:p>
    <w:p w14:paraId="1CBDA67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Palivová nádrž: min.80 l</w:t>
      </w:r>
    </w:p>
    <w:p w14:paraId="32A8F4EF"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Povinná výbava</w:t>
      </w:r>
    </w:p>
    <w:p w14:paraId="16C94167"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Rezervné koleso, zdvihák, kľúč na koleso</w:t>
      </w:r>
    </w:p>
    <w:p w14:paraId="41DED852"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Denné svietenie</w:t>
      </w:r>
    </w:p>
    <w:p w14:paraId="1D1D9BB5"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Manuálna klimatizácia</w:t>
      </w:r>
    </w:p>
    <w:p w14:paraId="13EB210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Airbag vodiča</w:t>
      </w:r>
    </w:p>
    <w:p w14:paraId="3E5F052D"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Elektrické okná, elektricky nastaviteľné a vyhrievané zrkadlá</w:t>
      </w:r>
    </w:p>
    <w:p w14:paraId="5E565DF2" w14:textId="77777777" w:rsidR="009C698F" w:rsidRPr="009C698F" w:rsidRDefault="009C698F" w:rsidP="00D77CFA">
      <w:pPr>
        <w:keepNext/>
        <w:keepLines/>
        <w:spacing w:after="0" w:line="240" w:lineRule="auto"/>
        <w:rPr>
          <w:rFonts w:ascii="Garamond" w:eastAsia="Times New Roman" w:hAnsi="Garamond" w:cs="Times New Roman"/>
        </w:rPr>
      </w:pPr>
    </w:p>
    <w:p w14:paraId="325EFB82"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Vymeniteľný trojstranný sklápač:</w:t>
      </w:r>
    </w:p>
    <w:p w14:paraId="00E387F7"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Vnútorná dĺžka nadstavby (mm): min 3 500 max 4 000</w:t>
      </w:r>
    </w:p>
    <w:p w14:paraId="33E3CB2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Vnútorná šírka nadstavby (mm): min 2 100 max 2 300</w:t>
      </w:r>
    </w:p>
    <w:p w14:paraId="44F44D8A"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Výška bočnice nadstavby (mm): min 400</w:t>
      </w:r>
    </w:p>
    <w:p w14:paraId="6B4F6DFA"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Hliníkové bočnice</w:t>
      </w:r>
    </w:p>
    <w:p w14:paraId="613AF2E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Podlaha: hliníkový plech v hrúbke min. 4 mm</w:t>
      </w:r>
    </w:p>
    <w:p w14:paraId="2D845A5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Uchytávacie oká v podlahe – min.6 ks</w:t>
      </w:r>
    </w:p>
    <w:p w14:paraId="498967D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Bočné zábrany proti podbehnutiu</w:t>
      </w:r>
    </w:p>
    <w:p w14:paraId="376230A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Vzduchové pruženie na zadnej náprave</w:t>
      </w:r>
    </w:p>
    <w:p w14:paraId="4CF02B76"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Celková hmotnosť (kg): max 3 500</w:t>
      </w:r>
    </w:p>
    <w:p w14:paraId="34C036B1"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Farba: červená – RAL3020</w:t>
      </w:r>
    </w:p>
    <w:p w14:paraId="4CFF028F" w14:textId="77777777" w:rsidR="009C698F" w:rsidRPr="009C698F" w:rsidRDefault="009C698F" w:rsidP="00D77CFA">
      <w:pPr>
        <w:keepNext/>
        <w:keepLines/>
        <w:spacing w:after="0" w:line="240" w:lineRule="auto"/>
        <w:rPr>
          <w:rFonts w:ascii="Garamond" w:eastAsia="Times New Roman" w:hAnsi="Garamond" w:cs="Times New Roman"/>
        </w:rPr>
      </w:pPr>
    </w:p>
    <w:p w14:paraId="6E12151E" w14:textId="77777777" w:rsidR="009C698F" w:rsidRPr="009C698F" w:rsidRDefault="009C698F" w:rsidP="00D77CFA">
      <w:pPr>
        <w:keepNext/>
        <w:keepLines/>
        <w:spacing w:after="0" w:line="240" w:lineRule="auto"/>
        <w:rPr>
          <w:rFonts w:ascii="Garamond" w:eastAsia="Times New Roman" w:hAnsi="Garamond" w:cs="Times New Roman"/>
          <w:color w:val="FF0000"/>
        </w:rPr>
      </w:pPr>
    </w:p>
    <w:p w14:paraId="46C112B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Výstražné majáky oranžovej farby zapísané v TP vozidla</w:t>
      </w:r>
    </w:p>
    <w:p w14:paraId="77F6CE43"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Vozidlo dodané so zapísanou nadstavbou v TP</w:t>
      </w:r>
    </w:p>
    <w:p w14:paraId="5253E8D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Autorizovaný servis do 50 km od Bratislavy</w:t>
      </w:r>
    </w:p>
    <w:p w14:paraId="781917F6" w14:textId="77777777" w:rsidR="009C698F" w:rsidRPr="009C698F" w:rsidRDefault="009C698F" w:rsidP="00D77CFA">
      <w:pPr>
        <w:keepNext/>
        <w:keepLines/>
        <w:spacing w:after="160" w:line="259" w:lineRule="auto"/>
        <w:rPr>
          <w:rFonts w:ascii="Garamond" w:eastAsia="Calibri" w:hAnsi="Garamond" w:cs="Times New Roman"/>
          <w:lang w:eastAsia="en-US"/>
        </w:rPr>
      </w:pPr>
    </w:p>
    <w:p w14:paraId="7F4092B1" w14:textId="6B488E1A" w:rsidR="007C2A67" w:rsidRDefault="007C2A67" w:rsidP="00D77CFA">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D77CFA">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D77CFA">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D77CFA">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5F2217">
      <w:pPr>
        <w:keepNext/>
        <w:keepLines/>
        <w:tabs>
          <w:tab w:val="left" w:pos="3957"/>
        </w:tabs>
        <w:spacing w:after="0" w:line="240" w:lineRule="auto"/>
        <w:rPr>
          <w:rFonts w:ascii="Garamond" w:hAnsi="Garamond"/>
          <w:b/>
          <w:color w:val="000000" w:themeColor="text1"/>
          <w:sz w:val="20"/>
          <w:szCs w:val="20"/>
        </w:rPr>
      </w:pPr>
    </w:p>
    <w:p w14:paraId="6E452B0D" w14:textId="77777777"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D77CFA">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lastRenderedPageBreak/>
        <w:t xml:space="preserve">PRÍLOHA </w:t>
      </w:r>
      <w:r w:rsidR="00EB20A7">
        <w:rPr>
          <w:rFonts w:ascii="Garamond" w:hAnsi="Garamond"/>
          <w:b/>
          <w:color w:val="000000" w:themeColor="text1"/>
          <w:sz w:val="20"/>
          <w:szCs w:val="20"/>
        </w:rPr>
        <w:t>2</w:t>
      </w:r>
    </w:p>
    <w:p w14:paraId="56F7E32F" w14:textId="5871FFDB" w:rsidR="00DF33DE" w:rsidRDefault="00DF33DE" w:rsidP="00D77CF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D77CFA">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0A13E0C3"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D77CFA">
        <w:rPr>
          <w:rFonts w:ascii="Garamond" w:hAnsi="Garamond"/>
          <w:color w:val="000000" w:themeColor="text1"/>
          <w:sz w:val="20"/>
          <w:szCs w:val="20"/>
        </w:rPr>
        <w:t xml:space="preserve"> -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640A" w14:textId="77777777" w:rsidR="00582B98" w:rsidRDefault="00582B98" w:rsidP="006B4B49">
      <w:pPr>
        <w:spacing w:after="0" w:line="240" w:lineRule="auto"/>
      </w:pPr>
      <w:r>
        <w:separator/>
      </w:r>
    </w:p>
  </w:endnote>
  <w:endnote w:type="continuationSeparator" w:id="0">
    <w:p w14:paraId="504C7CDA" w14:textId="77777777" w:rsidR="00582B98" w:rsidRDefault="00582B98" w:rsidP="006B4B49">
      <w:pPr>
        <w:spacing w:after="0" w:line="240" w:lineRule="auto"/>
      </w:pPr>
      <w:r>
        <w:continuationSeparator/>
      </w:r>
    </w:p>
  </w:endnote>
  <w:endnote w:type="continuationNotice" w:id="1">
    <w:p w14:paraId="43425FB3" w14:textId="77777777" w:rsidR="00582B98" w:rsidRDefault="00582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E59" w14:textId="77777777" w:rsidR="00582B98" w:rsidRDefault="00582B98" w:rsidP="006B4B49">
      <w:pPr>
        <w:spacing w:after="0" w:line="240" w:lineRule="auto"/>
      </w:pPr>
      <w:r>
        <w:separator/>
      </w:r>
    </w:p>
  </w:footnote>
  <w:footnote w:type="continuationSeparator" w:id="0">
    <w:p w14:paraId="1A1119D6" w14:textId="77777777" w:rsidR="00582B98" w:rsidRDefault="00582B98" w:rsidP="006B4B49">
      <w:pPr>
        <w:spacing w:after="0" w:line="240" w:lineRule="auto"/>
      </w:pPr>
      <w:r>
        <w:continuationSeparator/>
      </w:r>
    </w:p>
  </w:footnote>
  <w:footnote w:type="continuationNotice" w:id="1">
    <w:p w14:paraId="614F7BC9" w14:textId="77777777" w:rsidR="00582B98" w:rsidRDefault="00582B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3DCF"/>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5C8D"/>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74586"/>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656C"/>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2B98"/>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217"/>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10E0"/>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8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4D"/>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C0ED3"/>
    <w:rsid w:val="009C1FCB"/>
    <w:rsid w:val="009C24F1"/>
    <w:rsid w:val="009C698F"/>
    <w:rsid w:val="009C6CA5"/>
    <w:rsid w:val="009D079C"/>
    <w:rsid w:val="009D0B03"/>
    <w:rsid w:val="009D27B8"/>
    <w:rsid w:val="009D4836"/>
    <w:rsid w:val="009D64F2"/>
    <w:rsid w:val="009E767E"/>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53D4"/>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2E72"/>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26C2C"/>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77CFA"/>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0AB8"/>
    <w:rsid w:val="00DF33DE"/>
    <w:rsid w:val="00E03382"/>
    <w:rsid w:val="00E0420F"/>
    <w:rsid w:val="00E11B78"/>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9EA"/>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1A74"/>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34EF"/>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5088</Words>
  <Characters>29005</Characters>
  <Application>Microsoft Office Word</Application>
  <DocSecurity>0</DocSecurity>
  <Lines>241</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49</cp:revision>
  <cp:lastPrinted>2019-07-12T07:44:00Z</cp:lastPrinted>
  <dcterms:created xsi:type="dcterms:W3CDTF">2019-10-17T12:22:00Z</dcterms:created>
  <dcterms:modified xsi:type="dcterms:W3CDTF">2021-10-29T12:03:00Z</dcterms:modified>
</cp:coreProperties>
</file>