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DED76" w14:textId="77777777" w:rsidR="00AF580D" w:rsidRPr="001E75E1" w:rsidRDefault="00AF580D" w:rsidP="009E2C51">
      <w:pPr>
        <w:pStyle w:val="Nzov"/>
      </w:pPr>
      <w:bookmarkStart w:id="0" w:name="_Toc482950600"/>
      <w:bookmarkStart w:id="1" w:name="_Toc507658524"/>
      <w:bookmarkStart w:id="2" w:name="_Toc520644540"/>
      <w:r w:rsidRPr="001E75E1">
        <w:t xml:space="preserve">Návrh rámcovej dohody o dodávke </w:t>
      </w:r>
      <w:bookmarkEnd w:id="0"/>
      <w:r>
        <w:t>ZEMNÉHO PLYNU</w:t>
      </w:r>
      <w:bookmarkEnd w:id="1"/>
      <w:bookmarkEnd w:id="2"/>
    </w:p>
    <w:p w14:paraId="6D5BC5F8" w14:textId="77777777" w:rsidR="00AF580D" w:rsidRPr="001E75E1" w:rsidRDefault="00AF580D" w:rsidP="00AF580D">
      <w:pPr>
        <w:widowControl w:val="0"/>
        <w:tabs>
          <w:tab w:val="left" w:pos="988"/>
        </w:tabs>
        <w:spacing w:before="240" w:after="240"/>
        <w:ind w:left="709" w:right="113"/>
        <w:rPr>
          <w:sz w:val="24"/>
          <w:szCs w:val="24"/>
        </w:rPr>
      </w:pPr>
      <w:r w:rsidRPr="001E75E1">
        <w:rPr>
          <w:sz w:val="24"/>
          <w:szCs w:val="24"/>
        </w:rPr>
        <w:t>(ďalej len „</w:t>
      </w:r>
      <w:r w:rsidRPr="001E75E1">
        <w:rPr>
          <w:b/>
          <w:sz w:val="24"/>
          <w:szCs w:val="24"/>
        </w:rPr>
        <w:t>rámcová dohoda</w:t>
      </w:r>
      <w:r w:rsidRPr="001E75E1">
        <w:rPr>
          <w:sz w:val="24"/>
          <w:szCs w:val="24"/>
        </w:rPr>
        <w:t>“) uzavretá podľa príslušných ustanovení zákona č. 343/2015 Z. z. o verejnom obstarávaní v znení neskorších predpisov, podľa § 269 ods. 2 a </w:t>
      </w:r>
      <w:proofErr w:type="spellStart"/>
      <w:r w:rsidRPr="001E75E1">
        <w:rPr>
          <w:sz w:val="24"/>
          <w:szCs w:val="24"/>
        </w:rPr>
        <w:t>násl</w:t>
      </w:r>
      <w:proofErr w:type="spellEnd"/>
      <w:r w:rsidRPr="001E75E1">
        <w:rPr>
          <w:sz w:val="24"/>
          <w:szCs w:val="24"/>
        </w:rPr>
        <w:t>. zákona č. 513/1991 Zb. Obchodného zákonníka v znení zmien a doplnkov, podľa zákona č. 251/2012 Z. z. o energetike v znení neskorších právnych predpisov.</w:t>
      </w:r>
    </w:p>
    <w:p w14:paraId="74C6AFE7" w14:textId="77777777" w:rsidR="00AF580D" w:rsidRPr="00A14245" w:rsidRDefault="00AF580D" w:rsidP="00AF580D">
      <w:pPr>
        <w:tabs>
          <w:tab w:val="left" w:pos="360"/>
        </w:tabs>
        <w:spacing w:after="0" w:line="240" w:lineRule="auto"/>
        <w:jc w:val="center"/>
        <w:rPr>
          <w:rFonts w:eastAsia="Times New Roman"/>
          <w:b/>
          <w:sz w:val="24"/>
          <w:szCs w:val="24"/>
          <w:lang w:eastAsia="sk-SK"/>
        </w:rPr>
      </w:pPr>
      <w:r w:rsidRPr="00A14245">
        <w:rPr>
          <w:rFonts w:eastAsia="Times New Roman"/>
          <w:b/>
          <w:sz w:val="24"/>
          <w:szCs w:val="24"/>
          <w:lang w:eastAsia="sk-SK"/>
        </w:rPr>
        <w:t>I.</w:t>
      </w:r>
    </w:p>
    <w:p w14:paraId="05573805" w14:textId="77777777" w:rsidR="00AF580D" w:rsidRPr="00A14245" w:rsidRDefault="00AF580D" w:rsidP="00AF580D">
      <w:pPr>
        <w:tabs>
          <w:tab w:val="left" w:pos="360"/>
        </w:tabs>
        <w:spacing w:line="240" w:lineRule="auto"/>
        <w:jc w:val="center"/>
        <w:rPr>
          <w:rFonts w:eastAsia="Times New Roman"/>
          <w:b/>
          <w:sz w:val="24"/>
          <w:szCs w:val="24"/>
          <w:lang w:eastAsia="sk-SK"/>
        </w:rPr>
      </w:pPr>
      <w:r w:rsidRPr="00A14245">
        <w:rPr>
          <w:rFonts w:eastAsia="Times New Roman"/>
          <w:b/>
          <w:sz w:val="24"/>
          <w:szCs w:val="24"/>
          <w:lang w:eastAsia="sk-SK"/>
        </w:rPr>
        <w:t>Účastníci dohody – Identifikačné údaje</w:t>
      </w:r>
    </w:p>
    <w:p w14:paraId="7E0CB81B" w14:textId="77777777" w:rsidR="00AF580D" w:rsidRPr="00C62ABD" w:rsidRDefault="00AF580D" w:rsidP="00AF580D">
      <w:pPr>
        <w:spacing w:after="0"/>
        <w:ind w:left="709"/>
        <w:rPr>
          <w:sz w:val="24"/>
          <w:szCs w:val="24"/>
        </w:rPr>
      </w:pPr>
      <w:r w:rsidRPr="00975132">
        <w:rPr>
          <w:b/>
          <w:sz w:val="24"/>
          <w:szCs w:val="24"/>
        </w:rPr>
        <w:t>Centrálny verejný</w:t>
      </w:r>
      <w:r w:rsidRPr="00C62ABD">
        <w:rPr>
          <w:b/>
          <w:sz w:val="24"/>
          <w:szCs w:val="24"/>
        </w:rPr>
        <w:t xml:space="preserve"> obstarávateľ</w:t>
      </w:r>
    </w:p>
    <w:p w14:paraId="48FFEF06" w14:textId="77777777" w:rsidR="00AF580D" w:rsidRPr="00C62ABD" w:rsidRDefault="00AF580D" w:rsidP="00AF580D">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1D81A5E7" w14:textId="77777777" w:rsidR="00AF580D" w:rsidRPr="00C62ABD" w:rsidRDefault="00AF580D" w:rsidP="00AF580D">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11C657E7" w14:textId="77777777" w:rsidR="00AF580D" w:rsidRPr="00357671" w:rsidRDefault="00AF580D" w:rsidP="00AF580D">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0126E940" w14:textId="77777777" w:rsidR="00AF580D" w:rsidRPr="00357671" w:rsidRDefault="00AF580D" w:rsidP="00AF580D">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Ing. Ľuboš Babarík, predseda správnej rady</w:t>
      </w:r>
    </w:p>
    <w:p w14:paraId="4CCEF5CB" w14:textId="77777777" w:rsidR="00AF580D" w:rsidRPr="00357671" w:rsidRDefault="00AF580D" w:rsidP="00AF580D">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3AB859C5"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475"/>
      </w:tblGrid>
      <w:tr w:rsidR="00AF580D" w:rsidRPr="009229A9" w14:paraId="5CF349B5" w14:textId="77777777" w:rsidTr="00692E67">
        <w:tc>
          <w:tcPr>
            <w:tcW w:w="4172" w:type="dxa"/>
          </w:tcPr>
          <w:p w14:paraId="4D58A485" w14:textId="77777777" w:rsidR="00AF580D" w:rsidRPr="009229A9" w:rsidRDefault="00AF580D" w:rsidP="00692E67">
            <w:pPr>
              <w:spacing w:after="0"/>
              <w:rPr>
                <w:sz w:val="24"/>
                <w:szCs w:val="24"/>
              </w:rPr>
            </w:pPr>
            <w:r w:rsidRPr="009229A9">
              <w:rPr>
                <w:sz w:val="24"/>
                <w:szCs w:val="24"/>
              </w:rPr>
              <w:t>Odberateľ č. 1:</w:t>
            </w:r>
          </w:p>
        </w:tc>
        <w:tc>
          <w:tcPr>
            <w:tcW w:w="4475" w:type="dxa"/>
          </w:tcPr>
          <w:p w14:paraId="5CAC66DE"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2</w:t>
            </w:r>
            <w:r w:rsidRPr="009229A9">
              <w:rPr>
                <w:sz w:val="24"/>
                <w:szCs w:val="24"/>
              </w:rPr>
              <w:t>:</w:t>
            </w:r>
          </w:p>
        </w:tc>
      </w:tr>
      <w:tr w:rsidR="00AF580D" w:rsidRPr="009229A9" w14:paraId="2EF7F132" w14:textId="77777777" w:rsidTr="00692E67">
        <w:tc>
          <w:tcPr>
            <w:tcW w:w="4172" w:type="dxa"/>
          </w:tcPr>
          <w:p w14:paraId="7C5F96A4" w14:textId="77777777" w:rsidR="00AF580D" w:rsidRPr="009229A9" w:rsidRDefault="00AF580D" w:rsidP="00692E67">
            <w:pPr>
              <w:spacing w:after="0"/>
              <w:rPr>
                <w:b/>
                <w:bCs/>
                <w:sz w:val="24"/>
                <w:szCs w:val="24"/>
              </w:rPr>
            </w:pPr>
            <w:r w:rsidRPr="009229A9">
              <w:rPr>
                <w:sz w:val="24"/>
                <w:szCs w:val="24"/>
              </w:rPr>
              <w:t xml:space="preserve">Názov: </w:t>
            </w:r>
            <w:r w:rsidRPr="005131D6">
              <w:rPr>
                <w:b/>
                <w:bCs/>
                <w:sz w:val="24"/>
                <w:szCs w:val="24"/>
              </w:rPr>
              <w:t xml:space="preserve">Mesto </w:t>
            </w:r>
            <w:r>
              <w:rPr>
                <w:b/>
                <w:bCs/>
                <w:sz w:val="24"/>
                <w:szCs w:val="24"/>
              </w:rPr>
              <w:t>Fiľakovo</w:t>
            </w:r>
          </w:p>
        </w:tc>
        <w:tc>
          <w:tcPr>
            <w:tcW w:w="4475" w:type="dxa"/>
          </w:tcPr>
          <w:p w14:paraId="7A231560"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Verejnoprospešné služby</w:t>
            </w:r>
          </w:p>
        </w:tc>
      </w:tr>
      <w:tr w:rsidR="00AF580D" w:rsidRPr="009229A9" w14:paraId="7FD866EE" w14:textId="77777777" w:rsidTr="00692E67">
        <w:tc>
          <w:tcPr>
            <w:tcW w:w="4172" w:type="dxa"/>
          </w:tcPr>
          <w:p w14:paraId="78ECE599"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Radničná č. 25</w:t>
            </w:r>
          </w:p>
        </w:tc>
        <w:tc>
          <w:tcPr>
            <w:tcW w:w="4475" w:type="dxa"/>
          </w:tcPr>
          <w:p w14:paraId="33312800"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Farská lúka č. 3</w:t>
            </w:r>
          </w:p>
        </w:tc>
      </w:tr>
      <w:tr w:rsidR="00AF580D" w:rsidRPr="009229A9" w14:paraId="7A572A53" w14:textId="77777777" w:rsidTr="00692E67">
        <w:tc>
          <w:tcPr>
            <w:tcW w:w="4172" w:type="dxa"/>
          </w:tcPr>
          <w:p w14:paraId="2BF1BDFC"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475" w:type="dxa"/>
          </w:tcPr>
          <w:p w14:paraId="74123A65"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3B7AB336" w14:textId="77777777" w:rsidTr="00692E67">
        <w:tc>
          <w:tcPr>
            <w:tcW w:w="4172" w:type="dxa"/>
          </w:tcPr>
          <w:p w14:paraId="7CFFB93F" w14:textId="77777777" w:rsidR="00AF580D" w:rsidRPr="009229A9" w:rsidRDefault="00AF580D" w:rsidP="00692E67">
            <w:pPr>
              <w:spacing w:after="0"/>
              <w:rPr>
                <w:sz w:val="24"/>
                <w:szCs w:val="24"/>
              </w:rPr>
            </w:pPr>
            <w:r w:rsidRPr="009229A9">
              <w:rPr>
                <w:sz w:val="24"/>
                <w:szCs w:val="24"/>
              </w:rPr>
              <w:t xml:space="preserve">IČO: </w:t>
            </w:r>
            <w:r w:rsidRPr="004052D7">
              <w:rPr>
                <w:sz w:val="24"/>
                <w:szCs w:val="24"/>
              </w:rPr>
              <w:t>00316075</w:t>
            </w:r>
          </w:p>
        </w:tc>
        <w:tc>
          <w:tcPr>
            <w:tcW w:w="4475" w:type="dxa"/>
          </w:tcPr>
          <w:p w14:paraId="797292E7"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30232392</w:t>
            </w:r>
          </w:p>
        </w:tc>
      </w:tr>
    </w:tbl>
    <w:p w14:paraId="6D39EBDE"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AF580D" w:rsidRPr="009229A9" w14:paraId="5CCA9B8F" w14:textId="77777777" w:rsidTr="00692E67">
        <w:tc>
          <w:tcPr>
            <w:tcW w:w="4531" w:type="dxa"/>
          </w:tcPr>
          <w:p w14:paraId="621A87E7"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3</w:t>
            </w:r>
            <w:r w:rsidRPr="009229A9">
              <w:rPr>
                <w:sz w:val="24"/>
                <w:szCs w:val="24"/>
              </w:rPr>
              <w:t>:</w:t>
            </w:r>
          </w:p>
        </w:tc>
        <w:tc>
          <w:tcPr>
            <w:tcW w:w="4531" w:type="dxa"/>
          </w:tcPr>
          <w:p w14:paraId="2EDC8442"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4</w:t>
            </w:r>
            <w:r w:rsidRPr="009229A9">
              <w:rPr>
                <w:sz w:val="24"/>
                <w:szCs w:val="24"/>
              </w:rPr>
              <w:t>:</w:t>
            </w:r>
          </w:p>
        </w:tc>
      </w:tr>
      <w:tr w:rsidR="00AF580D" w:rsidRPr="009229A9" w14:paraId="08C7F077" w14:textId="77777777" w:rsidTr="00692E67">
        <w:tc>
          <w:tcPr>
            <w:tcW w:w="4531" w:type="dxa"/>
          </w:tcPr>
          <w:p w14:paraId="63BEB701"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Hradné múzeum vo Fiľakove</w:t>
            </w:r>
          </w:p>
        </w:tc>
        <w:tc>
          <w:tcPr>
            <w:tcW w:w="4531" w:type="dxa"/>
          </w:tcPr>
          <w:p w14:paraId="267F9D72"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Mestské kultúrne stredisko</w:t>
            </w:r>
          </w:p>
        </w:tc>
      </w:tr>
      <w:tr w:rsidR="00AF580D" w:rsidRPr="009229A9" w14:paraId="0E9A47DC" w14:textId="77777777" w:rsidTr="00692E67">
        <w:tc>
          <w:tcPr>
            <w:tcW w:w="4531" w:type="dxa"/>
          </w:tcPr>
          <w:p w14:paraId="7960B4BB"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Hlavná č. 15</w:t>
            </w:r>
          </w:p>
        </w:tc>
        <w:tc>
          <w:tcPr>
            <w:tcW w:w="4531" w:type="dxa"/>
          </w:tcPr>
          <w:p w14:paraId="0E027049"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Námestie slobody č. 30</w:t>
            </w:r>
          </w:p>
        </w:tc>
      </w:tr>
      <w:tr w:rsidR="00AF580D" w:rsidRPr="009229A9" w14:paraId="49B256BB" w14:textId="77777777" w:rsidTr="00692E67">
        <w:tc>
          <w:tcPr>
            <w:tcW w:w="4531" w:type="dxa"/>
          </w:tcPr>
          <w:p w14:paraId="4FC38442" w14:textId="77777777" w:rsidR="00AF580D" w:rsidRPr="009229A9" w:rsidRDefault="00AF580D" w:rsidP="00692E67">
            <w:pPr>
              <w:spacing w:after="0"/>
              <w:rPr>
                <w:sz w:val="24"/>
                <w:szCs w:val="24"/>
              </w:rPr>
            </w:pPr>
            <w:r w:rsidRPr="009229A9">
              <w:rPr>
                <w:sz w:val="24"/>
                <w:szCs w:val="24"/>
              </w:rPr>
              <w:t>PSČ:</w:t>
            </w:r>
            <w:r w:rsidRPr="005131D6">
              <w:rPr>
                <w:sz w:val="24"/>
                <w:szCs w:val="24"/>
              </w:rPr>
              <w:t xml:space="preserve"> </w:t>
            </w:r>
            <w:r>
              <w:rPr>
                <w:sz w:val="24"/>
                <w:szCs w:val="24"/>
              </w:rPr>
              <w:t>986 01 Fiľakovo</w:t>
            </w:r>
          </w:p>
        </w:tc>
        <w:tc>
          <w:tcPr>
            <w:tcW w:w="4531" w:type="dxa"/>
          </w:tcPr>
          <w:p w14:paraId="1AB5C0CE"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717DD320" w14:textId="77777777" w:rsidTr="00692E67">
        <w:tc>
          <w:tcPr>
            <w:tcW w:w="4531" w:type="dxa"/>
          </w:tcPr>
          <w:p w14:paraId="59B6311A"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42013241</w:t>
            </w:r>
          </w:p>
        </w:tc>
        <w:tc>
          <w:tcPr>
            <w:tcW w:w="4531" w:type="dxa"/>
          </w:tcPr>
          <w:p w14:paraId="3D86A53C"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00045543</w:t>
            </w:r>
          </w:p>
        </w:tc>
      </w:tr>
    </w:tbl>
    <w:p w14:paraId="031954C9"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193"/>
      </w:tblGrid>
      <w:tr w:rsidR="00AF580D" w:rsidRPr="009229A9" w14:paraId="0E21634B" w14:textId="77777777" w:rsidTr="00692E67">
        <w:tc>
          <w:tcPr>
            <w:tcW w:w="4531" w:type="dxa"/>
          </w:tcPr>
          <w:p w14:paraId="7DD654B2"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531" w:type="dxa"/>
          </w:tcPr>
          <w:p w14:paraId="227C1AEB"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6</w:t>
            </w:r>
            <w:r w:rsidRPr="009229A9">
              <w:rPr>
                <w:sz w:val="24"/>
                <w:szCs w:val="24"/>
              </w:rPr>
              <w:t>:</w:t>
            </w:r>
          </w:p>
        </w:tc>
      </w:tr>
      <w:tr w:rsidR="00AF580D" w:rsidRPr="009229A9" w14:paraId="7BDB8546" w14:textId="77777777" w:rsidTr="00692E67">
        <w:tc>
          <w:tcPr>
            <w:tcW w:w="4531" w:type="dxa"/>
          </w:tcPr>
          <w:p w14:paraId="31EAF762"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Základná</w:t>
            </w:r>
            <w:r w:rsidRPr="005131D6">
              <w:rPr>
                <w:b/>
                <w:bCs/>
                <w:sz w:val="24"/>
                <w:szCs w:val="24"/>
              </w:rPr>
              <w:t xml:space="preserve"> škola</w:t>
            </w:r>
            <w:r>
              <w:rPr>
                <w:b/>
                <w:bCs/>
                <w:sz w:val="24"/>
                <w:szCs w:val="24"/>
              </w:rPr>
              <w:t xml:space="preserve"> Fiľakovo</w:t>
            </w:r>
          </w:p>
        </w:tc>
        <w:tc>
          <w:tcPr>
            <w:tcW w:w="4531" w:type="dxa"/>
          </w:tcPr>
          <w:p w14:paraId="1E213ADA" w14:textId="77777777" w:rsidR="00AF580D" w:rsidRPr="009229A9" w:rsidRDefault="00AF580D" w:rsidP="00692E67">
            <w:pPr>
              <w:spacing w:after="0"/>
              <w:rPr>
                <w:b/>
                <w:bCs/>
                <w:sz w:val="24"/>
                <w:szCs w:val="24"/>
              </w:rPr>
            </w:pPr>
            <w:r w:rsidRPr="009229A9">
              <w:rPr>
                <w:sz w:val="24"/>
                <w:szCs w:val="24"/>
              </w:rPr>
              <w:t xml:space="preserve">Názov: </w:t>
            </w:r>
            <w:r w:rsidRPr="002B799C">
              <w:rPr>
                <w:b/>
                <w:bCs/>
                <w:sz w:val="24"/>
                <w:szCs w:val="24"/>
              </w:rPr>
              <w:t xml:space="preserve">Základná škola Štefana </w:t>
            </w:r>
            <w:proofErr w:type="spellStart"/>
            <w:r w:rsidRPr="002B799C">
              <w:rPr>
                <w:b/>
                <w:bCs/>
                <w:sz w:val="24"/>
                <w:szCs w:val="24"/>
              </w:rPr>
              <w:t>Koháriho</w:t>
            </w:r>
            <w:proofErr w:type="spellEnd"/>
            <w:r w:rsidRPr="002B799C">
              <w:rPr>
                <w:b/>
                <w:bCs/>
                <w:sz w:val="24"/>
                <w:szCs w:val="24"/>
              </w:rPr>
              <w:t xml:space="preserve"> II. </w:t>
            </w:r>
            <w:r>
              <w:rPr>
                <w:b/>
                <w:bCs/>
                <w:sz w:val="24"/>
                <w:szCs w:val="24"/>
              </w:rPr>
              <w:t>s VJM</w:t>
            </w:r>
            <w:r w:rsidRPr="002B799C">
              <w:rPr>
                <w:b/>
                <w:bCs/>
                <w:sz w:val="24"/>
                <w:szCs w:val="24"/>
              </w:rPr>
              <w:t xml:space="preserve">- II. </w:t>
            </w:r>
            <w:proofErr w:type="spellStart"/>
            <w:r w:rsidRPr="002B799C">
              <w:rPr>
                <w:b/>
                <w:bCs/>
                <w:sz w:val="24"/>
                <w:szCs w:val="24"/>
              </w:rPr>
              <w:t>Koháry</w:t>
            </w:r>
            <w:proofErr w:type="spellEnd"/>
            <w:r w:rsidRPr="002B799C">
              <w:rPr>
                <w:b/>
                <w:bCs/>
                <w:sz w:val="24"/>
                <w:szCs w:val="24"/>
              </w:rPr>
              <w:t xml:space="preserve"> </w:t>
            </w:r>
            <w:proofErr w:type="spellStart"/>
            <w:r w:rsidRPr="002B799C">
              <w:rPr>
                <w:b/>
                <w:bCs/>
                <w:sz w:val="24"/>
                <w:szCs w:val="24"/>
              </w:rPr>
              <w:t>István</w:t>
            </w:r>
            <w:proofErr w:type="spellEnd"/>
            <w:r w:rsidRPr="002B799C">
              <w:rPr>
                <w:b/>
                <w:bCs/>
                <w:sz w:val="24"/>
                <w:szCs w:val="24"/>
              </w:rPr>
              <w:t xml:space="preserve"> </w:t>
            </w:r>
            <w:proofErr w:type="spellStart"/>
            <w:r w:rsidRPr="002B799C">
              <w:rPr>
                <w:b/>
                <w:bCs/>
                <w:sz w:val="24"/>
                <w:szCs w:val="24"/>
              </w:rPr>
              <w:t>Alapiskola</w:t>
            </w:r>
            <w:proofErr w:type="spellEnd"/>
          </w:p>
        </w:tc>
      </w:tr>
      <w:tr w:rsidR="00AF580D" w:rsidRPr="009229A9" w14:paraId="2A3DD698" w14:textId="77777777" w:rsidTr="00692E67">
        <w:tc>
          <w:tcPr>
            <w:tcW w:w="4531" w:type="dxa"/>
          </w:tcPr>
          <w:p w14:paraId="2F94C498"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Školská č. 1</w:t>
            </w:r>
          </w:p>
        </w:tc>
        <w:tc>
          <w:tcPr>
            <w:tcW w:w="4531" w:type="dxa"/>
          </w:tcPr>
          <w:p w14:paraId="7946BFED"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Mládežnícka 7</w:t>
            </w:r>
          </w:p>
        </w:tc>
      </w:tr>
      <w:tr w:rsidR="00AF580D" w:rsidRPr="009229A9" w14:paraId="67140AE3" w14:textId="77777777" w:rsidTr="00692E67">
        <w:tc>
          <w:tcPr>
            <w:tcW w:w="4531" w:type="dxa"/>
          </w:tcPr>
          <w:p w14:paraId="215E437D"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531" w:type="dxa"/>
          </w:tcPr>
          <w:p w14:paraId="384FC3B7"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67BACC52" w14:textId="77777777" w:rsidTr="00692E67">
        <w:tc>
          <w:tcPr>
            <w:tcW w:w="4531" w:type="dxa"/>
          </w:tcPr>
          <w:p w14:paraId="06F28447"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37828860</w:t>
            </w:r>
          </w:p>
        </w:tc>
        <w:tc>
          <w:tcPr>
            <w:tcW w:w="4531" w:type="dxa"/>
          </w:tcPr>
          <w:p w14:paraId="20C95B28"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37828878</w:t>
            </w:r>
          </w:p>
        </w:tc>
      </w:tr>
    </w:tbl>
    <w:p w14:paraId="043D47E0"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203"/>
      </w:tblGrid>
      <w:tr w:rsidR="00AF580D" w:rsidRPr="009229A9" w14:paraId="2D92B80D" w14:textId="77777777" w:rsidTr="00692E67">
        <w:tc>
          <w:tcPr>
            <w:tcW w:w="4531" w:type="dxa"/>
          </w:tcPr>
          <w:p w14:paraId="3DFB06EF"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7</w:t>
            </w:r>
            <w:r w:rsidRPr="009229A9">
              <w:rPr>
                <w:sz w:val="24"/>
                <w:szCs w:val="24"/>
              </w:rPr>
              <w:t>:</w:t>
            </w:r>
          </w:p>
        </w:tc>
        <w:tc>
          <w:tcPr>
            <w:tcW w:w="4531" w:type="dxa"/>
          </w:tcPr>
          <w:p w14:paraId="6245DF41"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8</w:t>
            </w:r>
            <w:r w:rsidRPr="009229A9">
              <w:rPr>
                <w:sz w:val="24"/>
                <w:szCs w:val="24"/>
              </w:rPr>
              <w:t>:</w:t>
            </w:r>
          </w:p>
        </w:tc>
      </w:tr>
      <w:tr w:rsidR="00AF580D" w:rsidRPr="009229A9" w14:paraId="17109FF6" w14:textId="77777777" w:rsidTr="00692E67">
        <w:tc>
          <w:tcPr>
            <w:tcW w:w="4531" w:type="dxa"/>
          </w:tcPr>
          <w:p w14:paraId="70AB92BA"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Základná škola</w:t>
            </w:r>
          </w:p>
        </w:tc>
        <w:tc>
          <w:tcPr>
            <w:tcW w:w="4531" w:type="dxa"/>
          </w:tcPr>
          <w:p w14:paraId="0128D8C5"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 xml:space="preserve">Mestská časť Bratislava - Lamač </w:t>
            </w:r>
          </w:p>
        </w:tc>
      </w:tr>
      <w:tr w:rsidR="00AF580D" w:rsidRPr="009229A9" w14:paraId="55A416D8" w14:textId="77777777" w:rsidTr="00692E67">
        <w:tc>
          <w:tcPr>
            <w:tcW w:w="4531" w:type="dxa"/>
          </w:tcPr>
          <w:p w14:paraId="73D56227"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Farská lúka 64/4</w:t>
            </w:r>
          </w:p>
        </w:tc>
        <w:tc>
          <w:tcPr>
            <w:tcW w:w="4531" w:type="dxa"/>
          </w:tcPr>
          <w:p w14:paraId="5C2369F1"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Malokarpatské námestie 9</w:t>
            </w:r>
          </w:p>
        </w:tc>
      </w:tr>
      <w:tr w:rsidR="00AF580D" w:rsidRPr="009229A9" w14:paraId="5AECBA8C" w14:textId="77777777" w:rsidTr="00692E67">
        <w:tc>
          <w:tcPr>
            <w:tcW w:w="4531" w:type="dxa"/>
          </w:tcPr>
          <w:p w14:paraId="130D4393"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531" w:type="dxa"/>
          </w:tcPr>
          <w:p w14:paraId="7EE60F7A" w14:textId="77777777" w:rsidR="00AF580D" w:rsidRPr="009229A9" w:rsidRDefault="00AF580D" w:rsidP="00692E67">
            <w:pPr>
              <w:spacing w:after="0"/>
              <w:rPr>
                <w:sz w:val="24"/>
                <w:szCs w:val="24"/>
              </w:rPr>
            </w:pPr>
            <w:r w:rsidRPr="009229A9">
              <w:rPr>
                <w:sz w:val="24"/>
                <w:szCs w:val="24"/>
              </w:rPr>
              <w:t xml:space="preserve">PSČ: </w:t>
            </w:r>
            <w:r>
              <w:rPr>
                <w:sz w:val="24"/>
                <w:szCs w:val="24"/>
              </w:rPr>
              <w:t>841 03 Bratislava – mestská časť Lamač</w:t>
            </w:r>
          </w:p>
        </w:tc>
      </w:tr>
      <w:tr w:rsidR="00AF580D" w:rsidRPr="009229A9" w14:paraId="186C565E" w14:textId="77777777" w:rsidTr="00692E67">
        <w:tc>
          <w:tcPr>
            <w:tcW w:w="4531" w:type="dxa"/>
          </w:tcPr>
          <w:p w14:paraId="46BD772F"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37828843</w:t>
            </w:r>
          </w:p>
        </w:tc>
        <w:tc>
          <w:tcPr>
            <w:tcW w:w="4531" w:type="dxa"/>
          </w:tcPr>
          <w:p w14:paraId="6D92163F" w14:textId="77777777" w:rsidR="00AF580D" w:rsidRPr="009229A9" w:rsidRDefault="00AF580D" w:rsidP="00692E67">
            <w:pPr>
              <w:spacing w:after="0"/>
              <w:rPr>
                <w:sz w:val="24"/>
                <w:szCs w:val="24"/>
              </w:rPr>
            </w:pPr>
            <w:r w:rsidRPr="009229A9">
              <w:rPr>
                <w:sz w:val="24"/>
                <w:szCs w:val="24"/>
              </w:rPr>
              <w:t xml:space="preserve">IČO: </w:t>
            </w:r>
            <w:r w:rsidRPr="002461CD">
              <w:rPr>
                <w:sz w:val="24"/>
                <w:szCs w:val="24"/>
              </w:rPr>
              <w:t>00603414</w:t>
            </w:r>
          </w:p>
        </w:tc>
      </w:tr>
    </w:tbl>
    <w:p w14:paraId="0F3A01C8"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124"/>
      </w:tblGrid>
      <w:tr w:rsidR="00AF580D" w:rsidRPr="009229A9" w14:paraId="5346216D" w14:textId="77777777" w:rsidTr="00692E67">
        <w:tc>
          <w:tcPr>
            <w:tcW w:w="4531" w:type="dxa"/>
          </w:tcPr>
          <w:p w14:paraId="3F6320E2" w14:textId="77777777" w:rsidR="00AF580D" w:rsidRDefault="00AF580D" w:rsidP="00692E67">
            <w:pPr>
              <w:spacing w:after="0"/>
              <w:rPr>
                <w:sz w:val="24"/>
                <w:szCs w:val="24"/>
              </w:rPr>
            </w:pPr>
          </w:p>
          <w:p w14:paraId="58F16607" w14:textId="77777777" w:rsidR="00AF580D" w:rsidRDefault="00AF580D" w:rsidP="00692E67">
            <w:pPr>
              <w:spacing w:after="0"/>
              <w:rPr>
                <w:sz w:val="24"/>
                <w:szCs w:val="24"/>
              </w:rPr>
            </w:pPr>
          </w:p>
          <w:p w14:paraId="3FE3F1E9"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9</w:t>
            </w:r>
            <w:r w:rsidRPr="009229A9">
              <w:rPr>
                <w:sz w:val="24"/>
                <w:szCs w:val="24"/>
              </w:rPr>
              <w:t>:</w:t>
            </w:r>
          </w:p>
        </w:tc>
        <w:tc>
          <w:tcPr>
            <w:tcW w:w="4531" w:type="dxa"/>
          </w:tcPr>
          <w:p w14:paraId="26C4498B" w14:textId="77777777" w:rsidR="00AF580D" w:rsidRPr="009229A9" w:rsidRDefault="00AF580D" w:rsidP="00692E67">
            <w:pPr>
              <w:spacing w:after="0"/>
              <w:rPr>
                <w:sz w:val="24"/>
                <w:szCs w:val="24"/>
              </w:rPr>
            </w:pPr>
          </w:p>
        </w:tc>
      </w:tr>
      <w:tr w:rsidR="00AF580D" w:rsidRPr="009229A9" w14:paraId="124A8BD2" w14:textId="77777777" w:rsidTr="00692E67">
        <w:tc>
          <w:tcPr>
            <w:tcW w:w="4531" w:type="dxa"/>
          </w:tcPr>
          <w:p w14:paraId="447D3AD3" w14:textId="77777777" w:rsidR="00AF580D" w:rsidRPr="009229A9" w:rsidRDefault="00AF580D" w:rsidP="00692E67">
            <w:pPr>
              <w:spacing w:after="0"/>
              <w:rPr>
                <w:b/>
                <w:bCs/>
                <w:sz w:val="24"/>
                <w:szCs w:val="24"/>
              </w:rPr>
            </w:pPr>
            <w:r w:rsidRPr="009229A9">
              <w:rPr>
                <w:sz w:val="24"/>
                <w:szCs w:val="24"/>
              </w:rPr>
              <w:lastRenderedPageBreak/>
              <w:t xml:space="preserve">Názov: </w:t>
            </w:r>
            <w:r>
              <w:rPr>
                <w:b/>
                <w:bCs/>
                <w:sz w:val="24"/>
                <w:szCs w:val="24"/>
              </w:rPr>
              <w:t>Národné rehabilitačné centrum Kováčová</w:t>
            </w:r>
          </w:p>
        </w:tc>
        <w:tc>
          <w:tcPr>
            <w:tcW w:w="4531" w:type="dxa"/>
          </w:tcPr>
          <w:p w14:paraId="13467D88" w14:textId="77777777" w:rsidR="00AF580D" w:rsidRPr="009229A9" w:rsidRDefault="00AF580D" w:rsidP="00692E67">
            <w:pPr>
              <w:spacing w:after="0"/>
              <w:rPr>
                <w:b/>
                <w:bCs/>
                <w:sz w:val="24"/>
                <w:szCs w:val="24"/>
              </w:rPr>
            </w:pPr>
          </w:p>
        </w:tc>
      </w:tr>
      <w:tr w:rsidR="00AF580D" w:rsidRPr="009229A9" w14:paraId="22B286BB" w14:textId="77777777" w:rsidTr="00692E67">
        <w:tc>
          <w:tcPr>
            <w:tcW w:w="4531" w:type="dxa"/>
          </w:tcPr>
          <w:p w14:paraId="50E2C0B8"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Sládkovičova 353/1</w:t>
            </w:r>
          </w:p>
        </w:tc>
        <w:tc>
          <w:tcPr>
            <w:tcW w:w="4531" w:type="dxa"/>
          </w:tcPr>
          <w:p w14:paraId="26082CFC" w14:textId="77777777" w:rsidR="00AF580D" w:rsidRPr="009229A9" w:rsidRDefault="00AF580D" w:rsidP="00692E67">
            <w:pPr>
              <w:spacing w:after="0"/>
              <w:rPr>
                <w:sz w:val="24"/>
                <w:szCs w:val="24"/>
              </w:rPr>
            </w:pPr>
          </w:p>
        </w:tc>
      </w:tr>
      <w:tr w:rsidR="00AF580D" w:rsidRPr="009229A9" w14:paraId="66DE900B" w14:textId="77777777" w:rsidTr="00692E67">
        <w:tc>
          <w:tcPr>
            <w:tcW w:w="4531" w:type="dxa"/>
          </w:tcPr>
          <w:p w14:paraId="35E77CD7" w14:textId="77777777" w:rsidR="00AF580D" w:rsidRPr="009229A9" w:rsidRDefault="00AF580D" w:rsidP="00692E67">
            <w:pPr>
              <w:spacing w:after="0"/>
              <w:rPr>
                <w:sz w:val="24"/>
                <w:szCs w:val="24"/>
              </w:rPr>
            </w:pPr>
            <w:r w:rsidRPr="009229A9">
              <w:rPr>
                <w:sz w:val="24"/>
                <w:szCs w:val="24"/>
              </w:rPr>
              <w:t xml:space="preserve">PSČ: </w:t>
            </w:r>
            <w:r>
              <w:rPr>
                <w:sz w:val="24"/>
                <w:szCs w:val="24"/>
              </w:rPr>
              <w:t>962 37</w:t>
            </w:r>
            <w:r w:rsidRPr="005131D6">
              <w:rPr>
                <w:sz w:val="24"/>
                <w:szCs w:val="24"/>
              </w:rPr>
              <w:t xml:space="preserve"> </w:t>
            </w:r>
            <w:r>
              <w:rPr>
                <w:sz w:val="24"/>
                <w:szCs w:val="24"/>
              </w:rPr>
              <w:t>Kováčová</w:t>
            </w:r>
          </w:p>
        </w:tc>
        <w:tc>
          <w:tcPr>
            <w:tcW w:w="4531" w:type="dxa"/>
          </w:tcPr>
          <w:p w14:paraId="0CAD13D5" w14:textId="77777777" w:rsidR="00AF580D" w:rsidRPr="009229A9" w:rsidRDefault="00AF580D" w:rsidP="00692E67">
            <w:pPr>
              <w:spacing w:after="0"/>
              <w:rPr>
                <w:sz w:val="24"/>
                <w:szCs w:val="24"/>
              </w:rPr>
            </w:pPr>
          </w:p>
        </w:tc>
      </w:tr>
      <w:tr w:rsidR="00AF580D" w:rsidRPr="009229A9" w14:paraId="09248C76" w14:textId="77777777" w:rsidTr="00692E67">
        <w:tc>
          <w:tcPr>
            <w:tcW w:w="4531" w:type="dxa"/>
          </w:tcPr>
          <w:p w14:paraId="0348E2A5" w14:textId="77777777" w:rsidR="00AF580D" w:rsidRPr="009229A9" w:rsidRDefault="00AF580D" w:rsidP="00692E67">
            <w:pPr>
              <w:spacing w:after="0"/>
              <w:rPr>
                <w:sz w:val="24"/>
                <w:szCs w:val="24"/>
              </w:rPr>
            </w:pPr>
            <w:r w:rsidRPr="009229A9">
              <w:rPr>
                <w:sz w:val="24"/>
                <w:szCs w:val="24"/>
              </w:rPr>
              <w:t xml:space="preserve">IČO: </w:t>
            </w:r>
            <w:r w:rsidRPr="000204C2">
              <w:rPr>
                <w:sz w:val="24"/>
                <w:szCs w:val="24"/>
              </w:rPr>
              <w:t>00518140</w:t>
            </w:r>
          </w:p>
        </w:tc>
        <w:tc>
          <w:tcPr>
            <w:tcW w:w="4531" w:type="dxa"/>
          </w:tcPr>
          <w:p w14:paraId="1E2B95F5" w14:textId="77777777" w:rsidR="00AF580D" w:rsidRPr="009229A9" w:rsidRDefault="00AF580D" w:rsidP="00692E67">
            <w:pPr>
              <w:spacing w:after="0"/>
              <w:rPr>
                <w:sz w:val="24"/>
                <w:szCs w:val="24"/>
              </w:rPr>
            </w:pPr>
          </w:p>
        </w:tc>
      </w:tr>
    </w:tbl>
    <w:p w14:paraId="5A2D34AD"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040"/>
      </w:tblGrid>
      <w:tr w:rsidR="00AF580D" w:rsidRPr="009229A9" w14:paraId="4AD7C929" w14:textId="77777777" w:rsidTr="00692E67">
        <w:tc>
          <w:tcPr>
            <w:tcW w:w="4180" w:type="dxa"/>
          </w:tcPr>
          <w:p w14:paraId="134AB854" w14:textId="77777777" w:rsidR="00AF580D" w:rsidRPr="009229A9" w:rsidRDefault="00AF580D" w:rsidP="00692E67">
            <w:pPr>
              <w:spacing w:after="0"/>
              <w:rPr>
                <w:sz w:val="24"/>
                <w:szCs w:val="24"/>
              </w:rPr>
            </w:pPr>
          </w:p>
        </w:tc>
        <w:tc>
          <w:tcPr>
            <w:tcW w:w="4040" w:type="dxa"/>
          </w:tcPr>
          <w:p w14:paraId="348E1C13" w14:textId="77777777" w:rsidR="00AF580D" w:rsidRPr="009229A9" w:rsidRDefault="00AF580D" w:rsidP="00692E67">
            <w:pPr>
              <w:spacing w:after="0"/>
              <w:rPr>
                <w:sz w:val="24"/>
                <w:szCs w:val="24"/>
              </w:rPr>
            </w:pPr>
          </w:p>
        </w:tc>
      </w:tr>
      <w:tr w:rsidR="00AF580D" w:rsidRPr="009229A9" w14:paraId="3B28CAEA" w14:textId="77777777" w:rsidTr="00692E67">
        <w:tc>
          <w:tcPr>
            <w:tcW w:w="4180" w:type="dxa"/>
          </w:tcPr>
          <w:p w14:paraId="534D15F1" w14:textId="77777777" w:rsidR="00AF580D" w:rsidRPr="009229A9" w:rsidRDefault="00AF580D" w:rsidP="00692E67">
            <w:pPr>
              <w:spacing w:after="0"/>
              <w:rPr>
                <w:sz w:val="24"/>
                <w:szCs w:val="24"/>
              </w:rPr>
            </w:pPr>
          </w:p>
        </w:tc>
        <w:tc>
          <w:tcPr>
            <w:tcW w:w="4040" w:type="dxa"/>
          </w:tcPr>
          <w:p w14:paraId="4F4F958B" w14:textId="77777777" w:rsidR="00AF580D" w:rsidRPr="009229A9" w:rsidRDefault="00AF580D" w:rsidP="00692E67">
            <w:pPr>
              <w:spacing w:after="0"/>
              <w:rPr>
                <w:sz w:val="24"/>
                <w:szCs w:val="24"/>
              </w:rPr>
            </w:pPr>
          </w:p>
        </w:tc>
      </w:tr>
    </w:tbl>
    <w:p w14:paraId="26FD4F8C" w14:textId="77777777" w:rsidR="00AF580D" w:rsidRPr="001E75E1" w:rsidRDefault="00AF580D" w:rsidP="00AF580D">
      <w:pPr>
        <w:tabs>
          <w:tab w:val="left" w:pos="567"/>
        </w:tabs>
        <w:spacing w:after="0" w:line="240" w:lineRule="auto"/>
        <w:rPr>
          <w:rFonts w:eastAsia="Times New Roman"/>
          <w:sz w:val="24"/>
          <w:szCs w:val="24"/>
          <w:lang w:eastAsia="sk-SK"/>
        </w:rPr>
      </w:pPr>
      <w:r>
        <w:rPr>
          <w:rFonts w:eastAsia="Times New Roman"/>
          <w:sz w:val="24"/>
          <w:szCs w:val="24"/>
          <w:lang w:eastAsia="sk-SK"/>
        </w:rPr>
        <w:tab/>
      </w:r>
      <w:r>
        <w:rPr>
          <w:rFonts w:eastAsia="Times New Roman"/>
          <w:sz w:val="24"/>
          <w:szCs w:val="24"/>
          <w:lang w:eastAsia="sk-SK"/>
        </w:rPr>
        <w:tab/>
        <w:t>a</w:t>
      </w:r>
      <w:r w:rsidRPr="001E75E1">
        <w:rPr>
          <w:rFonts w:eastAsia="Times New Roman"/>
          <w:sz w:val="24"/>
          <w:szCs w:val="24"/>
          <w:lang w:eastAsia="sk-SK"/>
        </w:rPr>
        <w:t xml:space="preserve"> </w:t>
      </w:r>
    </w:p>
    <w:p w14:paraId="5EE16DD9"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p>
    <w:p w14:paraId="093FFC52"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Dodávateľ:</w:t>
      </w:r>
      <w:r w:rsidRPr="001E75E1">
        <w:rPr>
          <w:rFonts w:eastAsia="Times New Roman"/>
          <w:sz w:val="24"/>
          <w:szCs w:val="24"/>
          <w:lang w:eastAsia="sk-SK"/>
        </w:rPr>
        <w:tab/>
      </w:r>
      <w:r w:rsidRPr="001E75E1">
        <w:rPr>
          <w:rFonts w:eastAsia="Times New Roman"/>
          <w:sz w:val="24"/>
          <w:szCs w:val="24"/>
          <w:lang w:eastAsia="sk-SK"/>
        </w:rPr>
        <w:tab/>
      </w:r>
    </w:p>
    <w:p w14:paraId="76BF8B23"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Obchodné meno:</w:t>
      </w:r>
      <w:r w:rsidRPr="001E75E1">
        <w:rPr>
          <w:rFonts w:eastAsia="Times New Roman"/>
          <w:sz w:val="24"/>
          <w:szCs w:val="24"/>
          <w:lang w:eastAsia="sk-SK"/>
        </w:rPr>
        <w:tab/>
      </w:r>
    </w:p>
    <w:p w14:paraId="2D49A425"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Ulica, číslo</w:t>
      </w:r>
      <w:r w:rsidRPr="001E75E1">
        <w:rPr>
          <w:rFonts w:eastAsia="Times New Roman"/>
          <w:sz w:val="24"/>
          <w:szCs w:val="24"/>
          <w:lang w:eastAsia="sk-SK"/>
        </w:rPr>
        <w:tab/>
      </w:r>
      <w:r w:rsidRPr="001E75E1">
        <w:rPr>
          <w:rFonts w:eastAsia="Times New Roman"/>
          <w:sz w:val="24"/>
          <w:szCs w:val="24"/>
          <w:lang w:eastAsia="sk-SK"/>
        </w:rPr>
        <w:tab/>
      </w:r>
    </w:p>
    <w:p w14:paraId="7D2ADE9A"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PSČ,:</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70AABEDE"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Zastúpený :</w:t>
      </w:r>
      <w:r w:rsidRPr="001E75E1">
        <w:rPr>
          <w:rFonts w:eastAsia="Times New Roman"/>
          <w:sz w:val="24"/>
          <w:szCs w:val="24"/>
          <w:lang w:eastAsia="sk-SK"/>
        </w:rPr>
        <w:tab/>
      </w:r>
      <w:r w:rsidRPr="001E75E1">
        <w:rPr>
          <w:rFonts w:eastAsia="Times New Roman"/>
          <w:sz w:val="24"/>
          <w:szCs w:val="24"/>
          <w:lang w:eastAsia="sk-SK"/>
        </w:rPr>
        <w:tab/>
      </w:r>
    </w:p>
    <w:p w14:paraId="61692D7A"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IČO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1B0291A4"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DIČ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4C99FEC5"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Zapísaný :</w:t>
      </w:r>
      <w:r w:rsidRPr="001E75E1">
        <w:rPr>
          <w:rFonts w:eastAsia="Times New Roman"/>
          <w:sz w:val="24"/>
          <w:szCs w:val="24"/>
          <w:lang w:eastAsia="sk-SK"/>
        </w:rPr>
        <w:tab/>
      </w:r>
      <w:r w:rsidRPr="001E75E1">
        <w:rPr>
          <w:rFonts w:eastAsia="Times New Roman"/>
          <w:sz w:val="24"/>
          <w:szCs w:val="24"/>
          <w:lang w:eastAsia="sk-SK"/>
        </w:rPr>
        <w:tab/>
      </w:r>
    </w:p>
    <w:p w14:paraId="4ACF9C44" w14:textId="77777777" w:rsidR="00AF580D"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Bankové spojenie :</w:t>
      </w:r>
      <w:r w:rsidRPr="001E75E1">
        <w:rPr>
          <w:rFonts w:eastAsia="Times New Roman"/>
          <w:sz w:val="24"/>
          <w:szCs w:val="24"/>
          <w:lang w:eastAsia="sk-SK"/>
        </w:rPr>
        <w:tab/>
      </w:r>
    </w:p>
    <w:p w14:paraId="19AAA83C" w14:textId="77777777" w:rsidR="00AF580D" w:rsidRPr="001E75E1" w:rsidRDefault="00AF580D" w:rsidP="00AF580D">
      <w:pPr>
        <w:tabs>
          <w:tab w:val="left" w:pos="360"/>
          <w:tab w:val="left" w:pos="567"/>
        </w:tabs>
        <w:spacing w:after="0" w:line="240" w:lineRule="auto"/>
        <w:ind w:left="567"/>
        <w:jc w:val="center"/>
        <w:rPr>
          <w:rFonts w:eastAsia="Times New Roman"/>
          <w:b/>
          <w:bCs/>
          <w:sz w:val="24"/>
          <w:szCs w:val="24"/>
          <w:lang w:eastAsia="sk-SK"/>
        </w:rPr>
      </w:pPr>
      <w:r w:rsidRPr="001E75E1">
        <w:rPr>
          <w:rFonts w:eastAsia="Times New Roman"/>
          <w:b/>
          <w:bCs/>
          <w:sz w:val="24"/>
          <w:szCs w:val="24"/>
          <w:lang w:eastAsia="sk-SK"/>
        </w:rPr>
        <w:t>II.</w:t>
      </w:r>
    </w:p>
    <w:p w14:paraId="4304BCDF" w14:textId="77777777" w:rsidR="00AF580D" w:rsidRPr="001E75E1" w:rsidRDefault="00AF580D" w:rsidP="00AF580D">
      <w:pPr>
        <w:tabs>
          <w:tab w:val="left" w:pos="360"/>
          <w:tab w:val="left" w:pos="567"/>
        </w:tabs>
        <w:spacing w:line="240" w:lineRule="auto"/>
        <w:ind w:left="567"/>
        <w:jc w:val="center"/>
        <w:rPr>
          <w:rFonts w:eastAsia="Times New Roman"/>
          <w:b/>
          <w:bCs/>
          <w:sz w:val="24"/>
          <w:szCs w:val="24"/>
          <w:lang w:eastAsia="sk-SK"/>
        </w:rPr>
      </w:pPr>
      <w:r w:rsidRPr="001E75E1">
        <w:rPr>
          <w:rFonts w:eastAsia="Times New Roman"/>
          <w:b/>
          <w:bCs/>
          <w:sz w:val="24"/>
          <w:szCs w:val="24"/>
          <w:lang w:eastAsia="sk-SK"/>
        </w:rPr>
        <w:t>Preambula</w:t>
      </w:r>
    </w:p>
    <w:p w14:paraId="27CE7DE5"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1. </w:t>
      </w:r>
      <w:r w:rsidRPr="001E75E1">
        <w:rPr>
          <w:sz w:val="24"/>
          <w:szCs w:val="24"/>
        </w:rPr>
        <w:tab/>
      </w:r>
      <w:r>
        <w:rPr>
          <w:sz w:val="24"/>
          <w:szCs w:val="24"/>
        </w:rPr>
        <w:t>Realizátor verejného obstarávania</w:t>
      </w:r>
      <w:r w:rsidRPr="001E75E1">
        <w:rPr>
          <w:sz w:val="24"/>
          <w:szCs w:val="24"/>
        </w:rPr>
        <w:t xml:space="preserve"> na obstaranie predmetu tejto rámcovej dohody použil postup verejného obstarávania zadávania podlimitnej zákazky bez využitia elektronického trhoviska pre viac verejných obstarávateľov, resp. ich právne subjekty, ktorého víťazom sa stal dodávateľ.</w:t>
      </w:r>
    </w:p>
    <w:p w14:paraId="37C08D96"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2. </w:t>
      </w:r>
      <w:r w:rsidRPr="001E75E1">
        <w:rPr>
          <w:sz w:val="24"/>
          <w:szCs w:val="24"/>
        </w:rPr>
        <w:tab/>
      </w:r>
      <w:r w:rsidRPr="00A30F8E">
        <w:rPr>
          <w:sz w:val="24"/>
          <w:szCs w:val="24"/>
        </w:rPr>
        <w:t>Realizátor verejného obstarávania</w:t>
      </w:r>
      <w:r w:rsidRPr="001E75E1">
        <w:rPr>
          <w:sz w:val="24"/>
          <w:szCs w:val="24"/>
        </w:rPr>
        <w:t xml:space="preserve"> zrealizoval verejné obstarávanie ako podlimitnú zákazku bez využitia elektronického trhoviska na predmet zákazky „</w:t>
      </w:r>
      <w:r w:rsidRPr="001E75E1">
        <w:rPr>
          <w:b/>
          <w:sz w:val="24"/>
          <w:szCs w:val="24"/>
        </w:rPr>
        <w:t xml:space="preserve">Nákup zemného plynu – </w:t>
      </w:r>
      <w:r>
        <w:rPr>
          <w:b/>
          <w:sz w:val="24"/>
          <w:szCs w:val="24"/>
        </w:rPr>
        <w:t>CVO 421</w:t>
      </w:r>
      <w:r w:rsidRPr="001E75E1">
        <w:rPr>
          <w:sz w:val="24"/>
          <w:szCs w:val="24"/>
        </w:rPr>
        <w:t>“, ktorého výsledkom je táto rámcová dohoda.</w:t>
      </w:r>
    </w:p>
    <w:p w14:paraId="710493B3"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3. </w:t>
      </w:r>
      <w:r w:rsidRPr="001E75E1">
        <w:rPr>
          <w:sz w:val="24"/>
          <w:szCs w:val="24"/>
        </w:rPr>
        <w:tab/>
        <w:t xml:space="preserve">Ustanovenia uvedené v tejto rámcovej dohode sú podstatnými náležitosťami každej jednotlivej zmluvy na dodávku a distribúciu zemného plynu, uzavretej medzi zmluvnými stranami </w:t>
      </w:r>
      <w:r w:rsidRPr="001E75E1">
        <w:rPr>
          <w:i/>
          <w:sz w:val="24"/>
          <w:szCs w:val="24"/>
        </w:rPr>
        <w:t xml:space="preserve">(pričom na strane odberateľa je len jeden zo subjektov uvedených v čl. I tejto rámcovej dohody na strane „odberateľa“) </w:t>
      </w:r>
      <w:r w:rsidRPr="001E75E1">
        <w:rPr>
          <w:sz w:val="24"/>
          <w:szCs w:val="24"/>
        </w:rPr>
        <w:t>počas trvania tejto rámcovej dohody.</w:t>
      </w:r>
    </w:p>
    <w:p w14:paraId="57A31C8F"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4.</w:t>
      </w:r>
      <w:r w:rsidRPr="001E75E1">
        <w:rPr>
          <w:sz w:val="24"/>
          <w:szCs w:val="24"/>
        </w:rPr>
        <w:tab/>
        <w:t>Jednotlivé zmluvy budú uzatvárané s každým odberateľom, resp. každým právnym subjektom (odberateľom) na strane odberateľom samostatne</w:t>
      </w:r>
      <w:r>
        <w:rPr>
          <w:sz w:val="24"/>
          <w:szCs w:val="24"/>
        </w:rPr>
        <w:t>.</w:t>
      </w:r>
    </w:p>
    <w:p w14:paraId="278B6E65" w14:textId="77777777" w:rsidR="00AF580D" w:rsidRPr="00C62ABD" w:rsidRDefault="00AF580D" w:rsidP="00AF580D">
      <w:pPr>
        <w:numPr>
          <w:ilvl w:val="0"/>
          <w:numId w:val="2"/>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centráln</w:t>
      </w:r>
      <w:r>
        <w:rPr>
          <w:b/>
          <w:sz w:val="24"/>
          <w:szCs w:val="24"/>
        </w:rPr>
        <w:t>a</w:t>
      </w:r>
      <w:r w:rsidRPr="00A4530C">
        <w:rPr>
          <w:b/>
          <w:sz w:val="24"/>
          <w:szCs w:val="24"/>
        </w:rPr>
        <w:t xml:space="preserve"> </w:t>
      </w:r>
      <w:r>
        <w:rPr>
          <w:b/>
          <w:sz w:val="24"/>
          <w:szCs w:val="24"/>
        </w:rPr>
        <w:t>obstarávacia</w:t>
      </w:r>
      <w:r w:rsidRPr="00A4530C">
        <w:rPr>
          <w:b/>
          <w:sz w:val="24"/>
          <w:szCs w:val="24"/>
        </w:rPr>
        <w:t xml:space="preserve"> </w:t>
      </w:r>
      <w:r>
        <w:rPr>
          <w:b/>
          <w:sz w:val="24"/>
          <w:szCs w:val="24"/>
        </w:rPr>
        <w:t>organizácia</w:t>
      </w:r>
      <w:r w:rsidRPr="00A4530C">
        <w:rPr>
          <w:b/>
          <w:sz w:val="24"/>
          <w:szCs w:val="24"/>
        </w:rPr>
        <w:t xml:space="preserve"> – Obstarávacie trhovisko Slovenska.</w:t>
      </w:r>
    </w:p>
    <w:p w14:paraId="2B16E75E" w14:textId="77777777" w:rsidR="00AF580D" w:rsidRPr="001E75E1" w:rsidRDefault="00AF580D" w:rsidP="00AF580D">
      <w:pPr>
        <w:widowControl w:val="0"/>
        <w:numPr>
          <w:ilvl w:val="0"/>
          <w:numId w:val="2"/>
        </w:numPr>
        <w:tabs>
          <w:tab w:val="left" w:pos="1560"/>
        </w:tabs>
        <w:spacing w:after="240"/>
        <w:ind w:left="709" w:right="113"/>
        <w:rPr>
          <w:sz w:val="24"/>
          <w:szCs w:val="24"/>
        </w:rPr>
      </w:pPr>
      <w:r w:rsidRPr="001E75E1">
        <w:rPr>
          <w:sz w:val="24"/>
          <w:szCs w:val="24"/>
        </w:rPr>
        <w:t>Ustanovenia tejto Rámcovej dohody sú nadradené</w:t>
      </w:r>
      <w:r>
        <w:rPr>
          <w:sz w:val="24"/>
          <w:szCs w:val="24"/>
        </w:rPr>
        <w:t xml:space="preserve"> ustanoveniam jednotlivých zmlúv uzatvorených podľa a na základe tejto Rámcovej dohody, ako aj</w:t>
      </w:r>
      <w:r w:rsidRPr="001E75E1">
        <w:rPr>
          <w:sz w:val="24"/>
          <w:szCs w:val="24"/>
        </w:rPr>
        <w:t xml:space="preserve"> všeobecným obchodným podmienkam dodávateľa. </w:t>
      </w:r>
    </w:p>
    <w:p w14:paraId="28B6D059" w14:textId="77777777" w:rsidR="00AF580D" w:rsidRPr="001E75E1" w:rsidRDefault="00AF580D" w:rsidP="00AF580D">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III.</w:t>
      </w:r>
    </w:p>
    <w:p w14:paraId="0863BFF3"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lastRenderedPageBreak/>
        <w:t>Predmet rámcovej dohody</w:t>
      </w:r>
    </w:p>
    <w:p w14:paraId="75C78A0B"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1.</w:t>
      </w:r>
      <w:r w:rsidRPr="001E75E1">
        <w:rPr>
          <w:sz w:val="24"/>
          <w:szCs w:val="24"/>
        </w:rPr>
        <w:tab/>
        <w:t xml:space="preserve">Predmetom tejto rámcovej dohody je záväzok dodávateľa zo svojich nakúpených množstiev zemného plynu dodať odberateľovi do miesta dodania, ktorým sú odberné miesta špecifikované v prílohe č. 1 Zoznam odberných miest a spotrieb </w:t>
      </w:r>
      <w:r w:rsidRPr="001E75E1">
        <w:rPr>
          <w:i/>
          <w:sz w:val="24"/>
          <w:szCs w:val="24"/>
        </w:rPr>
        <w:t>(totožná s prílohou č. 2 k súťažným podkladom)</w:t>
      </w:r>
      <w:r w:rsidRPr="001E75E1">
        <w:rPr>
          <w:sz w:val="24"/>
          <w:szCs w:val="24"/>
        </w:rPr>
        <w:t xml:space="preserve"> tejto rámcovej dohody, zemný plyn a záväzok odberateľa odobrať zemný plyn v mieste dodania a zaplatiť zaň cenu, a to za podmienok a v časoch dohodnutých v jednotlivých zmluvách uzatvorených na základe a podľa tejto rámcovej dohody. Záväzok dodávateľa dodať zemný plyn je splnený umožnením odberateľovi zemný plyn odobrať.</w:t>
      </w:r>
    </w:p>
    <w:p w14:paraId="0307ADC1"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2.</w:t>
      </w:r>
      <w:r w:rsidRPr="001E75E1">
        <w:rPr>
          <w:sz w:val="24"/>
          <w:szCs w:val="24"/>
        </w:rPr>
        <w:tab/>
        <w:t xml:space="preserve">Predmetom tejto rámcovej dohody je tiež záväzok dodávateľa zabezpečiť odberateľovi distribúciu zemného plynu do odberných miest špecifikovaných v prílohe č. 1 Zoznam odberných miest a spotrieb </w:t>
      </w:r>
      <w:r w:rsidRPr="001E75E1">
        <w:rPr>
          <w:i/>
          <w:sz w:val="24"/>
          <w:szCs w:val="24"/>
        </w:rPr>
        <w:t>(totožná s prílohou č. 2 k súťažným podkladom)</w:t>
      </w:r>
      <w:r w:rsidRPr="001E75E1">
        <w:rPr>
          <w:sz w:val="24"/>
          <w:szCs w:val="24"/>
        </w:rPr>
        <w:t>, za podmienok uvedených v jednotlivých zmluvách uzatvorených na základe a podľa tejto rámcovej dohody a v zmluve alebo zmluvách o pripojení k distribučnej sústave uzatvorenej medzi Odberateľom a prevádzkovateľom distribučnej sústavy.</w:t>
      </w:r>
    </w:p>
    <w:p w14:paraId="58A16C00"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3.</w:t>
      </w:r>
      <w:r w:rsidRPr="001E75E1">
        <w:rPr>
          <w:sz w:val="24"/>
          <w:szCs w:val="24"/>
        </w:rPr>
        <w:tab/>
        <w:t>Predmetom tejto rámcovej dohody je aj záväzok odberateľa riadne a včas zaplatiť odplatu za plnenie poskytované dodávateľom za podmienok dohodnutých v jednotlivých zmluvách uzatvorených na základe a podľa tejto rámcovej dohody a uhradiť rovnako cenu za distribúciu podľa platného cenového výmeru Úradu pre reguláciu sieťových odvetví, spotrebnú daň a iné poplatky, ktoré vyplývajú z aktuálne platnej a účinnej legislatívy a sú viazané na odber zemného plynu podľa tejto rámcovej dohody.</w:t>
      </w:r>
    </w:p>
    <w:p w14:paraId="43B92042" w14:textId="77777777" w:rsidR="00AF580D" w:rsidRPr="001E75E1" w:rsidRDefault="00AF580D" w:rsidP="00AF580D">
      <w:pPr>
        <w:ind w:left="709"/>
        <w:rPr>
          <w:sz w:val="24"/>
          <w:szCs w:val="24"/>
        </w:rPr>
      </w:pPr>
      <w:r w:rsidRPr="001E75E1">
        <w:rPr>
          <w:sz w:val="24"/>
          <w:szCs w:val="24"/>
        </w:rPr>
        <w:t>4.</w:t>
      </w:r>
      <w:r w:rsidRPr="001E75E1">
        <w:rPr>
          <w:sz w:val="24"/>
          <w:szCs w:val="24"/>
        </w:rPr>
        <w:tab/>
        <w:t>Odberateľ vyhlasuje, že je vlastníkom v zmluve uvedených odberných miest pripojených z distribučnej sústavy.</w:t>
      </w:r>
    </w:p>
    <w:p w14:paraId="30174FCE" w14:textId="77777777" w:rsidR="00AF580D" w:rsidRPr="001E75E1" w:rsidRDefault="00AF580D" w:rsidP="00AF580D">
      <w:pPr>
        <w:widowControl w:val="0"/>
        <w:tabs>
          <w:tab w:val="left" w:pos="1560"/>
          <w:tab w:val="left" w:pos="1843"/>
        </w:tabs>
        <w:spacing w:after="240"/>
        <w:ind w:left="709" w:right="113"/>
        <w:rPr>
          <w:sz w:val="24"/>
          <w:szCs w:val="24"/>
        </w:rPr>
      </w:pPr>
      <w:r w:rsidRPr="001E75E1">
        <w:rPr>
          <w:sz w:val="24"/>
          <w:szCs w:val="24"/>
        </w:rPr>
        <w:t>5.</w:t>
      </w:r>
      <w:r w:rsidRPr="001E75E1">
        <w:rPr>
          <w:sz w:val="24"/>
          <w:szCs w:val="24"/>
        </w:rPr>
        <w:tab/>
        <w:t>Dodávateľ vyhlasuje, že podniká na základe licencie na predaj zemného plynu č. </w:t>
      </w:r>
      <w:r w:rsidRPr="001E75E1">
        <w:rPr>
          <w:sz w:val="24"/>
          <w:szCs w:val="24"/>
          <w:highlight w:val="yellow"/>
        </w:rPr>
        <w:t>...................</w:t>
      </w:r>
      <w:r w:rsidRPr="001E75E1">
        <w:rPr>
          <w:i/>
          <w:sz w:val="24"/>
          <w:szCs w:val="24"/>
          <w:highlight w:val="yellow"/>
        </w:rPr>
        <w:t>(doplní dodávateľ)</w:t>
      </w:r>
      <w:r w:rsidRPr="001E75E1">
        <w:rPr>
          <w:sz w:val="24"/>
          <w:szCs w:val="24"/>
        </w:rPr>
        <w:t xml:space="preserve"> vydanej Úradom pre reguláciu sieťových odvetví.</w:t>
      </w:r>
    </w:p>
    <w:p w14:paraId="095D64C9" w14:textId="77777777" w:rsidR="00AF580D" w:rsidRDefault="00AF580D" w:rsidP="00AF580D">
      <w:pPr>
        <w:widowControl w:val="0"/>
        <w:tabs>
          <w:tab w:val="left" w:pos="1560"/>
        </w:tabs>
        <w:spacing w:after="240"/>
        <w:ind w:left="709" w:right="113"/>
        <w:rPr>
          <w:sz w:val="24"/>
          <w:szCs w:val="24"/>
        </w:rPr>
      </w:pPr>
      <w:r w:rsidRPr="001E75E1">
        <w:rPr>
          <w:sz w:val="24"/>
          <w:szCs w:val="24"/>
        </w:rPr>
        <w:t>6.</w:t>
      </w:r>
      <w:r w:rsidRPr="001E75E1">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5EF0296A" w14:textId="77777777" w:rsidR="00AF580D" w:rsidRDefault="00AF580D" w:rsidP="00AF580D">
      <w:pPr>
        <w:widowControl w:val="0"/>
        <w:tabs>
          <w:tab w:val="left" w:pos="1560"/>
        </w:tabs>
        <w:spacing w:after="240"/>
        <w:ind w:left="709" w:right="113"/>
        <w:rPr>
          <w:sz w:val="24"/>
          <w:szCs w:val="24"/>
        </w:rPr>
      </w:pPr>
    </w:p>
    <w:p w14:paraId="3E71C2C4" w14:textId="77777777" w:rsidR="00AF580D" w:rsidRPr="001E75E1" w:rsidRDefault="00AF580D" w:rsidP="00AF580D">
      <w:pPr>
        <w:widowControl w:val="0"/>
        <w:tabs>
          <w:tab w:val="left" w:pos="1560"/>
        </w:tabs>
        <w:spacing w:after="240"/>
        <w:ind w:left="709" w:right="113"/>
        <w:rPr>
          <w:sz w:val="24"/>
          <w:szCs w:val="24"/>
        </w:rPr>
      </w:pPr>
    </w:p>
    <w:p w14:paraId="2D49AB53"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IV.</w:t>
      </w:r>
    </w:p>
    <w:p w14:paraId="7E3E6BFC" w14:textId="77777777" w:rsidR="00AF580D" w:rsidRPr="001E75E1" w:rsidRDefault="00AF580D" w:rsidP="00AF580D">
      <w:pPr>
        <w:spacing w:line="240" w:lineRule="auto"/>
        <w:ind w:left="709"/>
        <w:jc w:val="center"/>
        <w:rPr>
          <w:rFonts w:eastAsia="Times New Roman"/>
          <w:b/>
          <w:sz w:val="24"/>
          <w:szCs w:val="24"/>
          <w:lang w:eastAsia="sk-SK"/>
        </w:rPr>
      </w:pPr>
      <w:r w:rsidRPr="001E75E1">
        <w:rPr>
          <w:rFonts w:eastAsia="Times New Roman"/>
          <w:b/>
          <w:sz w:val="24"/>
          <w:szCs w:val="24"/>
          <w:lang w:eastAsia="sk-SK"/>
        </w:rPr>
        <w:t>Dodacie podmienky</w:t>
      </w:r>
    </w:p>
    <w:p w14:paraId="6929A626" w14:textId="77777777" w:rsidR="009E2C51" w:rsidRPr="00C62ABD" w:rsidRDefault="00AF580D" w:rsidP="009E2C51">
      <w:pPr>
        <w:spacing w:before="240"/>
        <w:ind w:left="709"/>
        <w:rPr>
          <w:sz w:val="24"/>
          <w:szCs w:val="24"/>
        </w:rPr>
      </w:pPr>
      <w:r w:rsidRPr="001E75E1">
        <w:rPr>
          <w:sz w:val="24"/>
          <w:szCs w:val="24"/>
        </w:rPr>
        <w:t>1.</w:t>
      </w:r>
      <w:r w:rsidRPr="001E75E1">
        <w:rPr>
          <w:sz w:val="24"/>
          <w:szCs w:val="24"/>
        </w:rPr>
        <w:tab/>
      </w:r>
      <w:r w:rsidR="009E2C51" w:rsidRPr="00C62ABD">
        <w:rPr>
          <w:sz w:val="24"/>
          <w:szCs w:val="24"/>
        </w:rPr>
        <w:t>Dodávateľ sa zaväzuje dodať predmet rámcovej dohody na základe jednotlivých zmlúv podľa čl. III. tejto dohody.</w:t>
      </w:r>
    </w:p>
    <w:p w14:paraId="7DD7F06B" w14:textId="77777777" w:rsidR="009E2C51" w:rsidRPr="00C62ABD" w:rsidRDefault="009E2C51" w:rsidP="009E2C51">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14:paraId="602F394C" w14:textId="77777777" w:rsidR="009E2C51" w:rsidRPr="00C62ABD" w:rsidRDefault="009E2C51" w:rsidP="009E2C51">
      <w:pPr>
        <w:spacing w:before="240"/>
        <w:ind w:left="709"/>
        <w:rPr>
          <w:sz w:val="24"/>
          <w:szCs w:val="24"/>
        </w:rPr>
      </w:pPr>
      <w:r w:rsidRPr="00C62ABD">
        <w:rPr>
          <w:sz w:val="24"/>
          <w:szCs w:val="24"/>
        </w:rPr>
        <w:lastRenderedPageBreak/>
        <w:t xml:space="preserve">3. </w:t>
      </w:r>
      <w:r w:rsidRPr="00C62ABD">
        <w:rPr>
          <w:sz w:val="24"/>
          <w:szCs w:val="24"/>
        </w:rPr>
        <w:tab/>
        <w:t>Termíny dodávky a objednané množstvá sú uvedené v prílohe č. 1 Zoznam odberných miest a spotrieb (totožná s prílohou č. 2 k súťažným podkladom).</w:t>
      </w:r>
    </w:p>
    <w:p w14:paraId="0EB5FF57" w14:textId="77777777" w:rsidR="009E2C51" w:rsidRPr="00C62ABD" w:rsidRDefault="009E2C51" w:rsidP="009E2C51">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77116134" w14:textId="77777777" w:rsidR="009E2C51" w:rsidRPr="00C62ABD" w:rsidRDefault="009E2C51" w:rsidP="009E2C51">
      <w:pPr>
        <w:numPr>
          <w:ilvl w:val="0"/>
          <w:numId w:val="9"/>
        </w:numPr>
        <w:spacing w:before="240"/>
        <w:ind w:left="709"/>
        <w:rPr>
          <w:sz w:val="24"/>
          <w:szCs w:val="24"/>
        </w:rPr>
      </w:pPr>
      <w:r w:rsidRPr="00C62ABD">
        <w:rPr>
          <w:sz w:val="24"/>
          <w:szCs w:val="24"/>
        </w:rPr>
        <w:t>Tolerancia odberu elektrickej energie - v rámci plnenia tejto</w:t>
      </w:r>
      <w:r>
        <w:rPr>
          <w:sz w:val="24"/>
          <w:szCs w:val="24"/>
        </w:rPr>
        <w:t xml:space="preserve"> zmluvy</w:t>
      </w:r>
      <w:r w:rsidRPr="00C62ABD">
        <w:rPr>
          <w:sz w:val="24"/>
          <w:szCs w:val="24"/>
        </w:rPr>
        <w:t xml:space="preserve"> bude</w:t>
      </w:r>
      <w:r>
        <w:rPr>
          <w:sz w:val="24"/>
          <w:szCs w:val="24"/>
        </w:rPr>
        <w:t xml:space="preserve"> akceptované tolerančné pásmo +- 30 % odberu elektrickej energie</w:t>
      </w:r>
      <w:r w:rsidRPr="00C62ABD">
        <w:rPr>
          <w:sz w:val="24"/>
          <w:szCs w:val="24"/>
        </w:rPr>
        <w:t>.</w:t>
      </w:r>
      <w:r>
        <w:rPr>
          <w:sz w:val="24"/>
          <w:szCs w:val="24"/>
        </w:rPr>
        <w:t xml:space="preserve"> </w:t>
      </w:r>
      <w:r w:rsidRPr="00F03458">
        <w:rPr>
          <w:sz w:val="24"/>
          <w:szCs w:val="24"/>
        </w:rPr>
        <w:t>Dodávateľ má právo v prípade prekročenia povolenej tolerancie žiadať od odberateľa poplatok</w:t>
      </w:r>
      <w:r>
        <w:rPr>
          <w:sz w:val="24"/>
          <w:szCs w:val="24"/>
        </w:rPr>
        <w:t>/zmluvnú pokutu</w:t>
      </w:r>
      <w:r w:rsidRPr="00F03458">
        <w:rPr>
          <w:sz w:val="24"/>
          <w:szCs w:val="24"/>
        </w:rPr>
        <w:t xml:space="preserve"> vo výške maximálne 7,7 eur za každý neodobratý alebo navyše odobratý MWh elektrickej energie.</w:t>
      </w:r>
    </w:p>
    <w:p w14:paraId="70CAF55C" w14:textId="77777777" w:rsidR="009E2C51" w:rsidRPr="00C62ABD" w:rsidRDefault="009E2C51" w:rsidP="009E2C51">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14:paraId="3533B2CC" w14:textId="6C93F134" w:rsidR="009E2C51" w:rsidRDefault="009E2C51" w:rsidP="009E2C51">
      <w:pPr>
        <w:spacing w:before="240"/>
        <w:ind w:left="709"/>
        <w:rPr>
          <w:sz w:val="24"/>
          <w:szCs w:val="24"/>
        </w:rPr>
      </w:pPr>
      <w:r w:rsidRPr="00C62ABD">
        <w:rPr>
          <w:sz w:val="24"/>
          <w:szCs w:val="24"/>
        </w:rPr>
        <w:t>7.</w:t>
      </w:r>
      <w:r w:rsidRPr="00C62ABD">
        <w:rPr>
          <w:sz w:val="24"/>
          <w:szCs w:val="24"/>
        </w:rPr>
        <w:tab/>
        <w:t xml:space="preserve">Stanovenie burzového dňa pre príslušné obdobie nákupu bude vyhotovené v písomnej forme a zaslané elektronicky najneskôr v tento deň do </w:t>
      </w:r>
      <w:r w:rsidRPr="00E508B5">
        <w:rPr>
          <w:color w:val="FF0000"/>
          <w:sz w:val="24"/>
          <w:szCs w:val="24"/>
        </w:rPr>
        <w:t>1</w:t>
      </w:r>
      <w:r w:rsidR="00E508B5" w:rsidRPr="00E508B5">
        <w:rPr>
          <w:color w:val="FF0000"/>
          <w:sz w:val="24"/>
          <w:szCs w:val="24"/>
        </w:rPr>
        <w:t>4</w:t>
      </w:r>
      <w:r w:rsidRPr="00E508B5">
        <w:rPr>
          <w:color w:val="FF0000"/>
          <w:sz w:val="24"/>
          <w:szCs w:val="24"/>
        </w:rPr>
        <w:t>:00 hod</w:t>
      </w:r>
      <w:r w:rsidRPr="00C62ABD">
        <w:rPr>
          <w:sz w:val="24"/>
          <w:szCs w:val="24"/>
        </w:rPr>
        <w:t xml:space="preserve">.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14:paraId="4CB086AD" w14:textId="77777777" w:rsidR="005E6D64" w:rsidRPr="009F525B" w:rsidRDefault="005E6D64" w:rsidP="005E6D64">
      <w:pPr>
        <w:spacing w:before="240"/>
        <w:ind w:left="709"/>
        <w:rPr>
          <w:color w:val="FF0000"/>
          <w:sz w:val="24"/>
          <w:szCs w:val="24"/>
        </w:rPr>
      </w:pPr>
      <w:r w:rsidRPr="009F525B">
        <w:rPr>
          <w:color w:val="FF0000"/>
          <w:sz w:val="24"/>
          <w:szCs w:val="24"/>
        </w:rPr>
        <w:t>Postup pri stanovení ceny (</w:t>
      </w:r>
      <w:proofErr w:type="spellStart"/>
      <w:r w:rsidRPr="009F525B">
        <w:rPr>
          <w:color w:val="FF0000"/>
          <w:sz w:val="24"/>
          <w:szCs w:val="24"/>
        </w:rPr>
        <w:t>SOPo</w:t>
      </w:r>
      <w:proofErr w:type="spellEnd"/>
      <w:r w:rsidRPr="009F525B">
        <w:rPr>
          <w:color w:val="FF0000"/>
          <w:sz w:val="24"/>
          <w:szCs w:val="24"/>
        </w:rPr>
        <w:t>):</w:t>
      </w:r>
    </w:p>
    <w:p w14:paraId="2B2B7E35" w14:textId="77777777" w:rsidR="005E6D64" w:rsidRPr="009F525B" w:rsidRDefault="005E6D64" w:rsidP="005E6D64">
      <w:pPr>
        <w:spacing w:before="240"/>
        <w:ind w:left="709"/>
        <w:rPr>
          <w:color w:val="FF0000"/>
          <w:sz w:val="24"/>
          <w:szCs w:val="24"/>
        </w:rPr>
      </w:pPr>
      <w:r>
        <w:rPr>
          <w:color w:val="FF0000"/>
          <w:sz w:val="24"/>
          <w:szCs w:val="24"/>
        </w:rPr>
        <w:t>Centrálny verejný obstarávateľ</w:t>
      </w:r>
      <w:r w:rsidRPr="009F525B">
        <w:rPr>
          <w:color w:val="FF0000"/>
          <w:sz w:val="24"/>
          <w:szCs w:val="24"/>
        </w:rPr>
        <w:t xml:space="preserve"> zašle požiadavku na ocenenie e-mailom na adresu dodávateľa a následne danú požiadavku aj telefonicky potvrdí na telefónnom čísle dodávateľa podľa tohto bodu. </w:t>
      </w:r>
      <w:r>
        <w:rPr>
          <w:color w:val="FF0000"/>
          <w:sz w:val="24"/>
          <w:szCs w:val="24"/>
        </w:rPr>
        <w:t>Centrálny verejný obstarávateľ</w:t>
      </w:r>
      <w:r w:rsidRPr="009F525B">
        <w:rPr>
          <w:color w:val="FF0000"/>
          <w:sz w:val="24"/>
          <w:szCs w:val="24"/>
        </w:rPr>
        <w:t xml:space="preserve"> je oprávnený požiadať dodávateľa o cenovú ponuku podľa predchádzajúcej vety 1-krát denne, v pracovných dňoch v čase medzi 10:00 - 15:00 hod., najneskôr však 14.12. kalendárneho roka predchádzajúceho roku dodávky. Ak 14. december pripadne na deň pracovného pokoja alebo deň pracovného voľna na Slovensku, v Nemecku alebo v Spojenom kráľovstve, platí ako najneskorší deň pre zaslanie požiadavky na ocenenie najbližší predchádzajúci pracovný deň. </w:t>
      </w:r>
    </w:p>
    <w:p w14:paraId="3E957C30" w14:textId="77777777" w:rsidR="005E6D64" w:rsidRPr="009F525B" w:rsidRDefault="005E6D64" w:rsidP="005E6D64">
      <w:pPr>
        <w:spacing w:before="240"/>
        <w:ind w:left="709"/>
        <w:rPr>
          <w:color w:val="FF0000"/>
          <w:sz w:val="24"/>
          <w:szCs w:val="24"/>
        </w:rPr>
      </w:pPr>
      <w:r w:rsidRPr="009F525B">
        <w:rPr>
          <w:color w:val="FF0000"/>
          <w:sz w:val="24"/>
          <w:szCs w:val="24"/>
        </w:rPr>
        <w:t xml:space="preserve">Dodávateľ zašle </w:t>
      </w:r>
      <w:r>
        <w:rPr>
          <w:color w:val="FF0000"/>
          <w:sz w:val="24"/>
          <w:szCs w:val="24"/>
        </w:rPr>
        <w:t>centrálnemu verejnému obstarávateľovi</w:t>
      </w:r>
      <w:r w:rsidRPr="009F525B">
        <w:rPr>
          <w:color w:val="FF0000"/>
          <w:sz w:val="24"/>
          <w:szCs w:val="24"/>
        </w:rPr>
        <w:t xml:space="preserve"> cenovú ponuku e-mailom čo najskôr podľa svojich aktuálnych administratívnych možností a následne danú ponuku aj telefonicky potvrdí na telefónnom čísle </w:t>
      </w:r>
      <w:r>
        <w:rPr>
          <w:color w:val="FF0000"/>
          <w:sz w:val="24"/>
          <w:szCs w:val="24"/>
        </w:rPr>
        <w:t>centrálneho verejného obstarávateľa</w:t>
      </w:r>
      <w:r w:rsidRPr="009F525B">
        <w:rPr>
          <w:color w:val="FF0000"/>
          <w:sz w:val="24"/>
          <w:szCs w:val="24"/>
        </w:rPr>
        <w:t xml:space="preserve"> podľa tohto bodu. Cenová ponuka dodávateľa bude platná 15 minút od odoslania.</w:t>
      </w:r>
    </w:p>
    <w:p w14:paraId="07CA1B7A" w14:textId="77777777" w:rsidR="005E6D64" w:rsidRPr="009F525B" w:rsidRDefault="005E6D64" w:rsidP="005E6D64">
      <w:pPr>
        <w:spacing w:before="240"/>
        <w:ind w:left="709"/>
        <w:rPr>
          <w:color w:val="FF0000"/>
          <w:sz w:val="24"/>
          <w:szCs w:val="24"/>
        </w:rPr>
      </w:pPr>
      <w:r w:rsidRPr="009F525B">
        <w:rPr>
          <w:color w:val="FF0000"/>
          <w:sz w:val="24"/>
          <w:szCs w:val="24"/>
        </w:rPr>
        <w:t xml:space="preserve">V prípade súhlasu s návrhom ceny je </w:t>
      </w:r>
      <w:r>
        <w:rPr>
          <w:color w:val="FF0000"/>
          <w:sz w:val="24"/>
          <w:szCs w:val="24"/>
        </w:rPr>
        <w:t>centrálny verejný obstarávateľ</w:t>
      </w:r>
      <w:r w:rsidRPr="009F525B">
        <w:rPr>
          <w:color w:val="FF0000"/>
          <w:sz w:val="24"/>
          <w:szCs w:val="24"/>
        </w:rPr>
        <w:t xml:space="preserve"> povinný zaslať akceptáciu ceny dodávateľovi prostredníctvom e-mailu na všetky nižšie uvedené e-mailové adresy. Doručením akceptácie prostredníctvom elektronickej pošty je uzavretá dohoda o množstvách a cene, ktoré sú uvedené v ponuke dodávateľa. Pre potvrdenie uzavretia dohody o množstvách a cene obidve zmluvné strany následne podpíšu Dohodu o stanovení ceny v zmysle tohto bodu.</w:t>
      </w:r>
    </w:p>
    <w:p w14:paraId="6F8CC938" w14:textId="77777777" w:rsidR="005E6D64" w:rsidRPr="009F525B" w:rsidRDefault="005E6D64" w:rsidP="005E6D64">
      <w:pPr>
        <w:spacing w:before="240"/>
        <w:ind w:left="709"/>
        <w:rPr>
          <w:color w:val="FF0000"/>
          <w:sz w:val="24"/>
          <w:szCs w:val="24"/>
        </w:rPr>
      </w:pPr>
      <w:r w:rsidRPr="009F525B">
        <w:rPr>
          <w:color w:val="FF0000"/>
          <w:sz w:val="24"/>
          <w:szCs w:val="24"/>
        </w:rPr>
        <w:t>Kontaktné údaje zástupcov dodávateľa: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2924"/>
        <w:gridCol w:w="2231"/>
      </w:tblGrid>
      <w:tr w:rsidR="005E6D64" w:rsidRPr="009F525B" w14:paraId="1A72B264" w14:textId="77777777" w:rsidTr="0083444D">
        <w:tc>
          <w:tcPr>
            <w:tcW w:w="3006" w:type="dxa"/>
            <w:vAlign w:val="center"/>
          </w:tcPr>
          <w:p w14:paraId="07106880" w14:textId="77777777" w:rsidR="005E6D64" w:rsidRPr="009F525B" w:rsidRDefault="005E6D64" w:rsidP="0083444D">
            <w:pPr>
              <w:spacing w:before="240"/>
              <w:ind w:left="709"/>
              <w:rPr>
                <w:color w:val="FF0000"/>
                <w:sz w:val="24"/>
                <w:szCs w:val="24"/>
              </w:rPr>
            </w:pPr>
            <w:r w:rsidRPr="009F525B">
              <w:rPr>
                <w:color w:val="FF0000"/>
                <w:sz w:val="24"/>
                <w:szCs w:val="24"/>
              </w:rPr>
              <w:lastRenderedPageBreak/>
              <w:t>Zástupca dodávateľa</w:t>
            </w:r>
          </w:p>
        </w:tc>
        <w:tc>
          <w:tcPr>
            <w:tcW w:w="3515" w:type="dxa"/>
            <w:vAlign w:val="center"/>
          </w:tcPr>
          <w:p w14:paraId="1B85B36B" w14:textId="77777777" w:rsidR="005E6D64" w:rsidRPr="009F525B" w:rsidRDefault="005E6D64" w:rsidP="0083444D">
            <w:pPr>
              <w:spacing w:before="240"/>
              <w:ind w:left="709"/>
              <w:rPr>
                <w:color w:val="FF0000"/>
                <w:sz w:val="24"/>
                <w:szCs w:val="24"/>
              </w:rPr>
            </w:pPr>
            <w:r w:rsidRPr="009F525B">
              <w:rPr>
                <w:color w:val="FF0000"/>
                <w:sz w:val="24"/>
                <w:szCs w:val="24"/>
              </w:rPr>
              <w:t>e-mailová adresa</w:t>
            </w:r>
          </w:p>
        </w:tc>
        <w:tc>
          <w:tcPr>
            <w:tcW w:w="2551" w:type="dxa"/>
            <w:vAlign w:val="center"/>
          </w:tcPr>
          <w:p w14:paraId="7340DD32" w14:textId="77777777" w:rsidR="005E6D64" w:rsidRPr="009F525B" w:rsidRDefault="005E6D64" w:rsidP="0083444D">
            <w:pPr>
              <w:spacing w:before="240"/>
              <w:ind w:left="709"/>
              <w:rPr>
                <w:color w:val="FF0000"/>
                <w:sz w:val="24"/>
                <w:szCs w:val="24"/>
              </w:rPr>
            </w:pPr>
            <w:r w:rsidRPr="009F525B">
              <w:rPr>
                <w:color w:val="FF0000"/>
                <w:sz w:val="24"/>
                <w:szCs w:val="24"/>
              </w:rPr>
              <w:t>telefón</w:t>
            </w:r>
          </w:p>
        </w:tc>
      </w:tr>
      <w:tr w:rsidR="005E6D64" w:rsidRPr="009F525B" w14:paraId="1460A554" w14:textId="77777777" w:rsidTr="0083444D">
        <w:trPr>
          <w:trHeight w:val="372"/>
        </w:trPr>
        <w:tc>
          <w:tcPr>
            <w:tcW w:w="3006" w:type="dxa"/>
            <w:vAlign w:val="center"/>
          </w:tcPr>
          <w:p w14:paraId="3D32571B" w14:textId="77777777" w:rsidR="005E6D64" w:rsidRPr="009F525B" w:rsidRDefault="005E6D64" w:rsidP="0083444D">
            <w:pPr>
              <w:spacing w:before="240"/>
              <w:ind w:left="709"/>
              <w:rPr>
                <w:color w:val="FF0000"/>
                <w:sz w:val="24"/>
                <w:szCs w:val="24"/>
              </w:rPr>
            </w:pPr>
          </w:p>
        </w:tc>
        <w:tc>
          <w:tcPr>
            <w:tcW w:w="3515" w:type="dxa"/>
            <w:vAlign w:val="center"/>
          </w:tcPr>
          <w:p w14:paraId="4F448A2A" w14:textId="77777777" w:rsidR="005E6D64" w:rsidRPr="009F525B" w:rsidRDefault="005E6D64" w:rsidP="0083444D">
            <w:pPr>
              <w:spacing w:before="240"/>
              <w:ind w:left="709"/>
              <w:rPr>
                <w:color w:val="FF0000"/>
                <w:sz w:val="24"/>
                <w:szCs w:val="24"/>
              </w:rPr>
            </w:pPr>
          </w:p>
        </w:tc>
        <w:tc>
          <w:tcPr>
            <w:tcW w:w="2551" w:type="dxa"/>
            <w:vAlign w:val="center"/>
          </w:tcPr>
          <w:p w14:paraId="1375418E" w14:textId="77777777" w:rsidR="005E6D64" w:rsidRPr="009F525B" w:rsidRDefault="005E6D64" w:rsidP="0083444D">
            <w:pPr>
              <w:spacing w:before="240"/>
              <w:ind w:left="709"/>
              <w:rPr>
                <w:color w:val="FF0000"/>
                <w:sz w:val="24"/>
                <w:szCs w:val="24"/>
              </w:rPr>
            </w:pPr>
          </w:p>
        </w:tc>
      </w:tr>
      <w:tr w:rsidR="005E6D64" w:rsidRPr="009F525B" w14:paraId="3F93CC13" w14:textId="77777777" w:rsidTr="0083444D">
        <w:trPr>
          <w:trHeight w:val="242"/>
        </w:trPr>
        <w:tc>
          <w:tcPr>
            <w:tcW w:w="3006" w:type="dxa"/>
            <w:vAlign w:val="center"/>
          </w:tcPr>
          <w:p w14:paraId="5AB33898" w14:textId="77777777" w:rsidR="005E6D64" w:rsidRPr="009F525B" w:rsidRDefault="005E6D64" w:rsidP="0083444D">
            <w:pPr>
              <w:spacing w:before="240"/>
              <w:ind w:left="709"/>
              <w:rPr>
                <w:color w:val="FF0000"/>
                <w:sz w:val="24"/>
                <w:szCs w:val="24"/>
              </w:rPr>
            </w:pPr>
          </w:p>
        </w:tc>
        <w:tc>
          <w:tcPr>
            <w:tcW w:w="3515" w:type="dxa"/>
            <w:vAlign w:val="center"/>
          </w:tcPr>
          <w:p w14:paraId="288EF816" w14:textId="77777777" w:rsidR="005E6D64" w:rsidRPr="009F525B" w:rsidRDefault="005E6D64" w:rsidP="0083444D">
            <w:pPr>
              <w:spacing w:before="240"/>
              <w:ind w:left="709"/>
              <w:rPr>
                <w:color w:val="FF0000"/>
                <w:sz w:val="24"/>
                <w:szCs w:val="24"/>
              </w:rPr>
            </w:pPr>
          </w:p>
        </w:tc>
        <w:tc>
          <w:tcPr>
            <w:tcW w:w="2551" w:type="dxa"/>
            <w:vAlign w:val="center"/>
          </w:tcPr>
          <w:p w14:paraId="0FD027CE" w14:textId="77777777" w:rsidR="005E6D64" w:rsidRPr="009F525B" w:rsidRDefault="005E6D64" w:rsidP="0083444D">
            <w:pPr>
              <w:spacing w:before="240"/>
              <w:ind w:left="709"/>
              <w:rPr>
                <w:color w:val="FF0000"/>
                <w:sz w:val="24"/>
                <w:szCs w:val="24"/>
              </w:rPr>
            </w:pPr>
          </w:p>
        </w:tc>
      </w:tr>
      <w:tr w:rsidR="005E6D64" w:rsidRPr="009F525B" w14:paraId="64E2C8C7" w14:textId="77777777" w:rsidTr="0083444D">
        <w:tc>
          <w:tcPr>
            <w:tcW w:w="3006" w:type="dxa"/>
            <w:vAlign w:val="center"/>
          </w:tcPr>
          <w:p w14:paraId="2408BE42" w14:textId="77777777" w:rsidR="005E6D64" w:rsidRPr="009F525B" w:rsidRDefault="005E6D64" w:rsidP="0083444D">
            <w:pPr>
              <w:spacing w:before="240"/>
              <w:ind w:left="709"/>
              <w:rPr>
                <w:color w:val="FF0000"/>
                <w:sz w:val="24"/>
                <w:szCs w:val="24"/>
              </w:rPr>
            </w:pPr>
          </w:p>
        </w:tc>
        <w:tc>
          <w:tcPr>
            <w:tcW w:w="3515" w:type="dxa"/>
            <w:vAlign w:val="center"/>
          </w:tcPr>
          <w:p w14:paraId="7E77BD25" w14:textId="77777777" w:rsidR="005E6D64" w:rsidRPr="009F525B" w:rsidRDefault="005E6D64" w:rsidP="0083444D">
            <w:pPr>
              <w:spacing w:before="240"/>
              <w:ind w:left="709"/>
              <w:rPr>
                <w:color w:val="FF0000"/>
                <w:sz w:val="24"/>
                <w:szCs w:val="24"/>
              </w:rPr>
            </w:pPr>
          </w:p>
        </w:tc>
        <w:tc>
          <w:tcPr>
            <w:tcW w:w="2551" w:type="dxa"/>
            <w:vAlign w:val="center"/>
          </w:tcPr>
          <w:p w14:paraId="52A0261B" w14:textId="77777777" w:rsidR="005E6D64" w:rsidRPr="009F525B" w:rsidRDefault="005E6D64" w:rsidP="0083444D">
            <w:pPr>
              <w:spacing w:before="240"/>
              <w:ind w:left="709"/>
              <w:rPr>
                <w:color w:val="FF0000"/>
                <w:sz w:val="24"/>
                <w:szCs w:val="24"/>
              </w:rPr>
            </w:pPr>
          </w:p>
        </w:tc>
      </w:tr>
    </w:tbl>
    <w:p w14:paraId="6B3D5481" w14:textId="77777777" w:rsidR="005E6D64" w:rsidRPr="009F525B" w:rsidDel="00A46610" w:rsidRDefault="005E6D64" w:rsidP="005E6D64">
      <w:pPr>
        <w:spacing w:before="240"/>
        <w:ind w:left="709"/>
        <w:rPr>
          <w:color w:val="FF0000"/>
          <w:sz w:val="24"/>
          <w:szCs w:val="24"/>
        </w:rPr>
      </w:pPr>
      <w:r w:rsidRPr="009F525B">
        <w:rPr>
          <w:color w:val="FF0000"/>
          <w:sz w:val="24"/>
          <w:szCs w:val="24"/>
        </w:rPr>
        <w:t xml:space="preserve">Zástupcovia </w:t>
      </w:r>
      <w:r>
        <w:rPr>
          <w:color w:val="FF0000"/>
          <w:sz w:val="24"/>
          <w:szCs w:val="24"/>
        </w:rPr>
        <w:t>centrálneho verejného obstarávateľa</w:t>
      </w:r>
      <w:r w:rsidRPr="009F525B">
        <w:rPr>
          <w:color w:val="FF0000"/>
          <w:sz w:val="24"/>
          <w:szCs w:val="24"/>
        </w:rPr>
        <w:t xml:space="preserve">, ktorí sú oprávnení predkladať požiadavky na ocenenie a súčasne sú osobami oprávnenými podpisovať Dohodu podľa tohto bodu: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976"/>
        <w:gridCol w:w="2205"/>
      </w:tblGrid>
      <w:tr w:rsidR="005E6D64" w:rsidRPr="009F525B" w14:paraId="2EEA4B31" w14:textId="77777777" w:rsidTr="0083444D">
        <w:tc>
          <w:tcPr>
            <w:tcW w:w="2701" w:type="dxa"/>
            <w:vAlign w:val="center"/>
          </w:tcPr>
          <w:p w14:paraId="2ADFCD61" w14:textId="77777777" w:rsidR="005E6D64" w:rsidRPr="009F525B" w:rsidRDefault="005E6D64" w:rsidP="0083444D">
            <w:pPr>
              <w:spacing w:before="240"/>
              <w:ind w:left="709"/>
              <w:rPr>
                <w:color w:val="FF0000"/>
                <w:sz w:val="24"/>
                <w:szCs w:val="24"/>
              </w:rPr>
            </w:pPr>
            <w:r w:rsidRPr="009F525B">
              <w:rPr>
                <w:color w:val="FF0000"/>
                <w:sz w:val="24"/>
                <w:szCs w:val="24"/>
              </w:rPr>
              <w:t>Zástupca odberateľa</w:t>
            </w:r>
          </w:p>
        </w:tc>
        <w:tc>
          <w:tcPr>
            <w:tcW w:w="3085" w:type="dxa"/>
            <w:vAlign w:val="center"/>
          </w:tcPr>
          <w:p w14:paraId="66D6C718" w14:textId="77777777" w:rsidR="005E6D64" w:rsidRPr="009F525B" w:rsidRDefault="005E6D64" w:rsidP="0083444D">
            <w:pPr>
              <w:spacing w:before="240"/>
              <w:ind w:left="709"/>
              <w:rPr>
                <w:color w:val="FF0000"/>
                <w:sz w:val="24"/>
                <w:szCs w:val="24"/>
              </w:rPr>
            </w:pPr>
            <w:r w:rsidRPr="009F525B">
              <w:rPr>
                <w:color w:val="FF0000"/>
                <w:sz w:val="24"/>
                <w:szCs w:val="24"/>
              </w:rPr>
              <w:t>e-mailová adresa</w:t>
            </w:r>
          </w:p>
        </w:tc>
        <w:tc>
          <w:tcPr>
            <w:tcW w:w="2260" w:type="dxa"/>
            <w:vAlign w:val="center"/>
          </w:tcPr>
          <w:p w14:paraId="58A0E126" w14:textId="77777777" w:rsidR="005E6D64" w:rsidRPr="009F525B" w:rsidRDefault="005E6D64" w:rsidP="0083444D">
            <w:pPr>
              <w:spacing w:before="240"/>
              <w:ind w:left="709"/>
              <w:rPr>
                <w:color w:val="FF0000"/>
                <w:sz w:val="24"/>
                <w:szCs w:val="24"/>
              </w:rPr>
            </w:pPr>
            <w:r w:rsidRPr="009F525B">
              <w:rPr>
                <w:color w:val="FF0000"/>
                <w:sz w:val="24"/>
                <w:szCs w:val="24"/>
              </w:rPr>
              <w:t>telefón</w:t>
            </w:r>
          </w:p>
        </w:tc>
      </w:tr>
      <w:tr w:rsidR="005E6D64" w:rsidRPr="009F525B" w14:paraId="71537AD2" w14:textId="77777777" w:rsidTr="0083444D">
        <w:trPr>
          <w:trHeight w:val="372"/>
        </w:trPr>
        <w:tc>
          <w:tcPr>
            <w:tcW w:w="2701" w:type="dxa"/>
          </w:tcPr>
          <w:p w14:paraId="6D536F37" w14:textId="77777777" w:rsidR="005E6D64" w:rsidRPr="009F525B" w:rsidRDefault="005E6D64" w:rsidP="0083444D">
            <w:pPr>
              <w:spacing w:before="240"/>
              <w:ind w:left="709"/>
              <w:rPr>
                <w:color w:val="FF0000"/>
                <w:sz w:val="24"/>
                <w:szCs w:val="24"/>
              </w:rPr>
            </w:pPr>
          </w:p>
        </w:tc>
        <w:tc>
          <w:tcPr>
            <w:tcW w:w="3085" w:type="dxa"/>
          </w:tcPr>
          <w:p w14:paraId="34DE77B5" w14:textId="77777777" w:rsidR="005E6D64" w:rsidRPr="009F525B" w:rsidRDefault="005E6D64" w:rsidP="0083444D">
            <w:pPr>
              <w:spacing w:before="240"/>
              <w:ind w:left="709"/>
              <w:rPr>
                <w:color w:val="FF0000"/>
                <w:sz w:val="24"/>
                <w:szCs w:val="24"/>
              </w:rPr>
            </w:pPr>
          </w:p>
        </w:tc>
        <w:tc>
          <w:tcPr>
            <w:tcW w:w="2260" w:type="dxa"/>
          </w:tcPr>
          <w:p w14:paraId="55A335CA" w14:textId="77777777" w:rsidR="005E6D64" w:rsidRPr="009F525B" w:rsidRDefault="005E6D64" w:rsidP="0083444D">
            <w:pPr>
              <w:spacing w:before="240"/>
              <w:ind w:left="709"/>
              <w:rPr>
                <w:color w:val="FF0000"/>
                <w:sz w:val="24"/>
                <w:szCs w:val="24"/>
              </w:rPr>
            </w:pPr>
          </w:p>
        </w:tc>
      </w:tr>
      <w:tr w:rsidR="005E6D64" w:rsidRPr="009F525B" w14:paraId="4C0DDE1E" w14:textId="77777777" w:rsidTr="0083444D">
        <w:trPr>
          <w:trHeight w:val="242"/>
        </w:trPr>
        <w:tc>
          <w:tcPr>
            <w:tcW w:w="2701" w:type="dxa"/>
          </w:tcPr>
          <w:p w14:paraId="2A9BAE78" w14:textId="77777777" w:rsidR="005E6D64" w:rsidRPr="009F525B" w:rsidRDefault="005E6D64" w:rsidP="0083444D">
            <w:pPr>
              <w:spacing w:before="240"/>
              <w:ind w:left="709"/>
              <w:rPr>
                <w:color w:val="FF0000"/>
                <w:sz w:val="24"/>
                <w:szCs w:val="24"/>
              </w:rPr>
            </w:pPr>
          </w:p>
        </w:tc>
        <w:tc>
          <w:tcPr>
            <w:tcW w:w="3085" w:type="dxa"/>
          </w:tcPr>
          <w:p w14:paraId="318105E4" w14:textId="77777777" w:rsidR="005E6D64" w:rsidRPr="009F525B" w:rsidRDefault="005E6D64" w:rsidP="0083444D">
            <w:pPr>
              <w:spacing w:before="240"/>
              <w:ind w:left="709"/>
              <w:rPr>
                <w:color w:val="FF0000"/>
                <w:sz w:val="24"/>
                <w:szCs w:val="24"/>
              </w:rPr>
            </w:pPr>
          </w:p>
        </w:tc>
        <w:tc>
          <w:tcPr>
            <w:tcW w:w="2260" w:type="dxa"/>
          </w:tcPr>
          <w:p w14:paraId="3DCBBC91" w14:textId="77777777" w:rsidR="005E6D64" w:rsidRPr="009F525B" w:rsidRDefault="005E6D64" w:rsidP="0083444D">
            <w:pPr>
              <w:spacing w:before="240"/>
              <w:ind w:left="709"/>
              <w:rPr>
                <w:color w:val="FF0000"/>
                <w:sz w:val="24"/>
                <w:szCs w:val="24"/>
              </w:rPr>
            </w:pPr>
          </w:p>
        </w:tc>
      </w:tr>
      <w:tr w:rsidR="005E6D64" w:rsidRPr="009F525B" w14:paraId="2B62CAA8" w14:textId="77777777" w:rsidTr="0083444D">
        <w:tc>
          <w:tcPr>
            <w:tcW w:w="2701" w:type="dxa"/>
          </w:tcPr>
          <w:p w14:paraId="4B0EFDC3" w14:textId="77777777" w:rsidR="005E6D64" w:rsidRPr="009F525B" w:rsidRDefault="005E6D64" w:rsidP="0083444D">
            <w:pPr>
              <w:spacing w:before="240"/>
              <w:ind w:left="709"/>
              <w:rPr>
                <w:color w:val="FF0000"/>
                <w:sz w:val="24"/>
                <w:szCs w:val="24"/>
              </w:rPr>
            </w:pPr>
          </w:p>
        </w:tc>
        <w:tc>
          <w:tcPr>
            <w:tcW w:w="3085" w:type="dxa"/>
          </w:tcPr>
          <w:p w14:paraId="192A0C04" w14:textId="77777777" w:rsidR="005E6D64" w:rsidRPr="009F525B" w:rsidRDefault="005E6D64" w:rsidP="0083444D">
            <w:pPr>
              <w:spacing w:before="240"/>
              <w:ind w:left="709"/>
              <w:rPr>
                <w:color w:val="FF0000"/>
                <w:sz w:val="24"/>
                <w:szCs w:val="24"/>
              </w:rPr>
            </w:pPr>
          </w:p>
        </w:tc>
        <w:tc>
          <w:tcPr>
            <w:tcW w:w="2260" w:type="dxa"/>
          </w:tcPr>
          <w:p w14:paraId="7D1BB7B0" w14:textId="77777777" w:rsidR="005E6D64" w:rsidRPr="009F525B" w:rsidRDefault="005E6D64" w:rsidP="0083444D">
            <w:pPr>
              <w:spacing w:before="240"/>
              <w:ind w:left="709"/>
              <w:rPr>
                <w:color w:val="FF0000"/>
                <w:sz w:val="24"/>
                <w:szCs w:val="24"/>
              </w:rPr>
            </w:pPr>
          </w:p>
        </w:tc>
      </w:tr>
    </w:tbl>
    <w:p w14:paraId="08056248" w14:textId="77777777" w:rsidR="005E6D64" w:rsidRPr="009F525B" w:rsidRDefault="005E6D64" w:rsidP="005E6D64">
      <w:pPr>
        <w:spacing w:before="240"/>
        <w:ind w:left="709"/>
        <w:rPr>
          <w:color w:val="FF0000"/>
          <w:sz w:val="24"/>
          <w:szCs w:val="24"/>
        </w:rPr>
      </w:pPr>
      <w:r w:rsidRPr="009F525B" w:rsidDel="009C5CE5">
        <w:rPr>
          <w:color w:val="FF0000"/>
          <w:sz w:val="24"/>
          <w:szCs w:val="24"/>
        </w:rPr>
        <w:t>Požiadavka zaslaná v súlade s týmto bodom je pre obe zmluvné strany záväzná.</w:t>
      </w:r>
    </w:p>
    <w:p w14:paraId="51981010" w14:textId="77777777" w:rsidR="005E6D64" w:rsidRPr="009F525B" w:rsidRDefault="005E6D64" w:rsidP="005E6D64">
      <w:pPr>
        <w:spacing w:before="240"/>
        <w:ind w:left="709"/>
        <w:rPr>
          <w:color w:val="FF0000"/>
          <w:sz w:val="24"/>
          <w:szCs w:val="24"/>
        </w:rPr>
      </w:pPr>
      <w:r w:rsidRPr="009F525B">
        <w:rPr>
          <w:color w:val="FF0000"/>
          <w:sz w:val="24"/>
          <w:szCs w:val="24"/>
        </w:rPr>
        <w:t xml:space="preserve">Ak </w:t>
      </w:r>
      <w:r>
        <w:rPr>
          <w:color w:val="FF0000"/>
          <w:sz w:val="24"/>
          <w:szCs w:val="24"/>
        </w:rPr>
        <w:t>centrálny verejný obstarávateľ</w:t>
      </w:r>
      <w:r w:rsidRPr="009F525B">
        <w:rPr>
          <w:color w:val="FF0000"/>
          <w:sz w:val="24"/>
          <w:szCs w:val="24"/>
        </w:rPr>
        <w:t xml:space="preserve"> nepožiada o stanovenie ceny spôsobom uvedeným vyššie v tomto bode, pre stanovenie ceny (SOPO) bude  použitá hodnota THEYA z 15. decembra kalendárneho roka predchádzajúceho roku dodávky podľa tejto zmluvy (tzv. automatická požiadavka). Ak tento deň pripadne na deň pracovného pokoja alebo deň pracovného voľna na Slovensku, v Nemecku alebo v Spojenom kráľovstve, použije sa cena z najbližšieho nasledujúceho pracovného dňa.</w:t>
      </w:r>
    </w:p>
    <w:p w14:paraId="51AD2096" w14:textId="77777777" w:rsidR="005E6D64" w:rsidRPr="009F525B" w:rsidRDefault="005E6D64" w:rsidP="005E6D64">
      <w:pPr>
        <w:spacing w:before="240"/>
        <w:ind w:left="709"/>
        <w:rPr>
          <w:color w:val="FF0000"/>
          <w:sz w:val="24"/>
          <w:szCs w:val="24"/>
        </w:rPr>
      </w:pPr>
      <w:r w:rsidRPr="009F525B">
        <w:rPr>
          <w:color w:val="FF0000"/>
          <w:sz w:val="24"/>
          <w:szCs w:val="24"/>
        </w:rPr>
        <w:t xml:space="preserve">THEYA -  </w:t>
      </w:r>
      <w:r w:rsidRPr="009F525B">
        <w:rPr>
          <w:color w:val="FF0000"/>
          <w:sz w:val="24"/>
          <w:szCs w:val="24"/>
        </w:rPr>
        <w:tab/>
        <w:t xml:space="preserve">je THE </w:t>
      </w:r>
      <w:proofErr w:type="spellStart"/>
      <w:r w:rsidRPr="009F525B">
        <w:rPr>
          <w:color w:val="FF0000"/>
          <w:sz w:val="24"/>
          <w:szCs w:val="24"/>
        </w:rPr>
        <w:t>Calendar</w:t>
      </w:r>
      <w:proofErr w:type="spellEnd"/>
      <w:r w:rsidRPr="009F525B">
        <w:rPr>
          <w:color w:val="FF0000"/>
          <w:sz w:val="24"/>
          <w:szCs w:val="24"/>
        </w:rPr>
        <w:t xml:space="preserve"> </w:t>
      </w:r>
      <w:proofErr w:type="spellStart"/>
      <w:r w:rsidRPr="009F525B">
        <w:rPr>
          <w:color w:val="FF0000"/>
          <w:sz w:val="24"/>
          <w:szCs w:val="24"/>
        </w:rPr>
        <w:t>Settlement</w:t>
      </w:r>
      <w:proofErr w:type="spellEnd"/>
      <w:r w:rsidRPr="009F525B">
        <w:rPr>
          <w:color w:val="FF0000"/>
          <w:sz w:val="24"/>
          <w:szCs w:val="24"/>
        </w:rPr>
        <w:t xml:space="preserve"> </w:t>
      </w:r>
      <w:proofErr w:type="spellStart"/>
      <w:r w:rsidRPr="009F525B">
        <w:rPr>
          <w:color w:val="FF0000"/>
          <w:sz w:val="24"/>
          <w:szCs w:val="24"/>
        </w:rPr>
        <w:t>Price</w:t>
      </w:r>
      <w:proofErr w:type="spellEnd"/>
      <w:r w:rsidRPr="009F525B">
        <w:rPr>
          <w:color w:val="FF0000"/>
          <w:sz w:val="24"/>
          <w:szCs w:val="24"/>
        </w:rPr>
        <w:t xml:space="preserve"> zverejnená pre deň určený v tomto bode v časti </w:t>
      </w:r>
      <w:proofErr w:type="spellStart"/>
      <w:r w:rsidRPr="009F525B">
        <w:rPr>
          <w:color w:val="FF0000"/>
          <w:sz w:val="24"/>
          <w:szCs w:val="24"/>
        </w:rPr>
        <w:t>All</w:t>
      </w:r>
      <w:proofErr w:type="spellEnd"/>
      <w:r w:rsidRPr="009F525B">
        <w:rPr>
          <w:color w:val="FF0000"/>
          <w:sz w:val="24"/>
          <w:szCs w:val="24"/>
        </w:rPr>
        <w:t xml:space="preserve"> </w:t>
      </w:r>
      <w:proofErr w:type="spellStart"/>
      <w:r w:rsidRPr="009F525B">
        <w:rPr>
          <w:color w:val="FF0000"/>
          <w:sz w:val="24"/>
          <w:szCs w:val="24"/>
        </w:rPr>
        <w:t>Contracts</w:t>
      </w:r>
      <w:proofErr w:type="spellEnd"/>
      <w:r w:rsidRPr="009F525B">
        <w:rPr>
          <w:color w:val="FF0000"/>
          <w:sz w:val="24"/>
          <w:szCs w:val="24"/>
        </w:rPr>
        <w:t xml:space="preserve"> pre príslušný rok, pre ktorý sa SOPO stanovuje. Hodnoty THE </w:t>
      </w:r>
      <w:proofErr w:type="spellStart"/>
      <w:r w:rsidRPr="009F525B">
        <w:rPr>
          <w:color w:val="FF0000"/>
          <w:sz w:val="24"/>
          <w:szCs w:val="24"/>
        </w:rPr>
        <w:t>Settlement</w:t>
      </w:r>
      <w:proofErr w:type="spellEnd"/>
      <w:r w:rsidRPr="009F525B">
        <w:rPr>
          <w:color w:val="FF0000"/>
          <w:sz w:val="24"/>
          <w:szCs w:val="24"/>
        </w:rPr>
        <w:t xml:space="preserve"> </w:t>
      </w:r>
      <w:proofErr w:type="spellStart"/>
      <w:r w:rsidRPr="009F525B">
        <w:rPr>
          <w:color w:val="FF0000"/>
          <w:sz w:val="24"/>
          <w:szCs w:val="24"/>
        </w:rPr>
        <w:t>Price</w:t>
      </w:r>
      <w:proofErr w:type="spellEnd"/>
      <w:r w:rsidRPr="009F525B">
        <w:rPr>
          <w:color w:val="FF0000"/>
          <w:sz w:val="24"/>
          <w:szCs w:val="24"/>
        </w:rPr>
        <w:t xml:space="preserve"> sú publikované na dennej báze na stránke </w:t>
      </w:r>
      <w:proofErr w:type="spellStart"/>
      <w:r w:rsidRPr="009F525B">
        <w:rPr>
          <w:color w:val="FF0000"/>
          <w:sz w:val="24"/>
          <w:szCs w:val="24"/>
        </w:rPr>
        <w:t>Powernext</w:t>
      </w:r>
      <w:proofErr w:type="spellEnd"/>
      <w:r w:rsidRPr="009F525B">
        <w:rPr>
          <w:color w:val="FF0000"/>
          <w:sz w:val="24"/>
          <w:szCs w:val="24"/>
        </w:rPr>
        <w:t xml:space="preserve"> (www.powernext.com) v časti Pegas Markets/</w:t>
      </w:r>
      <w:proofErr w:type="spellStart"/>
      <w:r w:rsidRPr="009F525B">
        <w:rPr>
          <w:color w:val="FF0000"/>
          <w:sz w:val="24"/>
          <w:szCs w:val="24"/>
        </w:rPr>
        <w:t>Futures</w:t>
      </w:r>
      <w:proofErr w:type="spellEnd"/>
      <w:r w:rsidRPr="009F525B">
        <w:rPr>
          <w:color w:val="FF0000"/>
          <w:sz w:val="24"/>
          <w:szCs w:val="24"/>
        </w:rPr>
        <w:t xml:space="preserve"> </w:t>
      </w:r>
      <w:proofErr w:type="spellStart"/>
      <w:r w:rsidRPr="009F525B">
        <w:rPr>
          <w:color w:val="FF0000"/>
          <w:sz w:val="24"/>
          <w:szCs w:val="24"/>
        </w:rPr>
        <w:t>market</w:t>
      </w:r>
      <w:proofErr w:type="spellEnd"/>
      <w:r w:rsidRPr="009F525B">
        <w:rPr>
          <w:color w:val="FF0000"/>
          <w:sz w:val="24"/>
          <w:szCs w:val="24"/>
        </w:rPr>
        <w:t xml:space="preserve"> </w:t>
      </w:r>
      <w:proofErr w:type="spellStart"/>
      <w:r w:rsidRPr="009F525B">
        <w:rPr>
          <w:color w:val="FF0000"/>
          <w:sz w:val="24"/>
          <w:szCs w:val="24"/>
        </w:rPr>
        <w:t>data</w:t>
      </w:r>
      <w:proofErr w:type="spellEnd"/>
      <w:r w:rsidRPr="009F525B">
        <w:rPr>
          <w:color w:val="FF0000"/>
          <w:sz w:val="24"/>
          <w:szCs w:val="24"/>
        </w:rPr>
        <w:t xml:space="preserve">. </w:t>
      </w:r>
    </w:p>
    <w:p w14:paraId="79C7EE1C" w14:textId="77777777" w:rsidR="005E6D64" w:rsidRPr="009F525B" w:rsidRDefault="005E6D64" w:rsidP="005E6D64">
      <w:pPr>
        <w:spacing w:before="240"/>
        <w:ind w:left="709"/>
        <w:rPr>
          <w:color w:val="FF0000"/>
          <w:sz w:val="24"/>
          <w:szCs w:val="24"/>
        </w:rPr>
      </w:pPr>
      <w:r w:rsidRPr="009F525B">
        <w:rPr>
          <w:color w:val="FF0000"/>
          <w:sz w:val="24"/>
          <w:szCs w:val="24"/>
        </w:rPr>
        <w:t>V prípade, že sa umiestnenie príslušnej hodnoty THE, resp. názov príslušného produktu zmení, dodávateľ pre stanovenie ceny použije príslušnú hodnotu zo zodpovedajúceho dostupného umiestnenia.</w:t>
      </w:r>
    </w:p>
    <w:p w14:paraId="06069D4A" w14:textId="77777777" w:rsidR="005E6D64" w:rsidRPr="009F525B" w:rsidRDefault="005E6D64" w:rsidP="005E6D64">
      <w:pPr>
        <w:spacing w:before="240"/>
        <w:ind w:left="709"/>
        <w:rPr>
          <w:sz w:val="24"/>
          <w:szCs w:val="24"/>
        </w:rPr>
      </w:pPr>
      <w:r w:rsidRPr="009F525B">
        <w:rPr>
          <w:sz w:val="24"/>
          <w:szCs w:val="24"/>
        </w:rPr>
        <w:lastRenderedPageBreak/>
        <w:t xml:space="preserve">Na základe akceptácie ceny </w:t>
      </w:r>
      <w:r>
        <w:rPr>
          <w:sz w:val="24"/>
          <w:szCs w:val="24"/>
        </w:rPr>
        <w:t>centrálnym verejným obstarávateľom</w:t>
      </w:r>
      <w:r w:rsidRPr="009F525B">
        <w:rPr>
          <w:sz w:val="24"/>
          <w:szCs w:val="24"/>
        </w:rPr>
        <w:t xml:space="preserve"> a/alebo na základe automatickej požiadavky podľa tohto bodu, dodávateľ zašle </w:t>
      </w:r>
      <w:r>
        <w:rPr>
          <w:sz w:val="24"/>
          <w:szCs w:val="24"/>
        </w:rPr>
        <w:t>centrálnemu verejnému obstarávateľovi</w:t>
      </w:r>
      <w:r w:rsidRPr="009F525B">
        <w:rPr>
          <w:sz w:val="24"/>
          <w:szCs w:val="24"/>
        </w:rPr>
        <w:t xml:space="preserve"> písomnú požiadavku  „Stanovenie burzového dňa pre určenie ceny zemného plynu na báze príslušného indexu THE“ (ďalej „PRÍLOHA Č. 3 - Stanovenie burzového dňa pre určenie ceny zemného plynu), ktorá bude obsahovať príslušnú hodnotu THE stanovenú podľa tohto bodu, ako aj príslušné množstvo, ktoré bude pomocou tejto hodnoty ocenené, a to v dvoch vyhotoveniach a podpísanú aspoň jedným oprávneným zástupcom dodávateľa podľa tohto bodu. </w:t>
      </w:r>
      <w:r>
        <w:rPr>
          <w:sz w:val="24"/>
          <w:szCs w:val="24"/>
        </w:rPr>
        <w:t>Centrálny verejný obstarávateľ</w:t>
      </w:r>
      <w:r w:rsidRPr="009F525B">
        <w:rPr>
          <w:sz w:val="24"/>
          <w:szCs w:val="24"/>
        </w:rPr>
        <w:t xml:space="preserve"> následne obratom zašle Prílohu – „Stanovenie burzového dňa pre určenie ceny zemného plynu“  podpísanú aspoň jedným oprávneným zástupcom podľa tohto bodu, čím sa táto PRÍLOHA – „Stanovenie burzového dňa pre určenie ceny zemného plynu</w:t>
      </w:r>
      <w:r>
        <w:rPr>
          <w:sz w:val="24"/>
          <w:szCs w:val="24"/>
        </w:rPr>
        <w:t>“</w:t>
      </w:r>
      <w:r w:rsidRPr="009F525B">
        <w:rPr>
          <w:sz w:val="24"/>
          <w:szCs w:val="24"/>
        </w:rPr>
        <w:t xml:space="preserve">  stane neoddeliteľnou súčasťou zmluvy.</w:t>
      </w:r>
    </w:p>
    <w:p w14:paraId="46CCCFC3" w14:textId="77777777" w:rsidR="005E6D64" w:rsidRPr="009F525B" w:rsidRDefault="005E6D64" w:rsidP="005E6D64">
      <w:pPr>
        <w:spacing w:before="240"/>
        <w:ind w:left="709"/>
        <w:rPr>
          <w:sz w:val="24"/>
          <w:szCs w:val="24"/>
        </w:rPr>
      </w:pPr>
      <w:r w:rsidRPr="009F525B">
        <w:rPr>
          <w:sz w:val="24"/>
          <w:szCs w:val="24"/>
        </w:rPr>
        <w:t xml:space="preserve">Hodnotu SOPO pre jednotlivé OM dodávateľ vypočíta a oznámi </w:t>
      </w:r>
      <w:r>
        <w:rPr>
          <w:sz w:val="24"/>
          <w:szCs w:val="24"/>
        </w:rPr>
        <w:t>centrálnemu verejnému obstarávateľovi</w:t>
      </w:r>
      <w:r w:rsidRPr="009F525B">
        <w:rPr>
          <w:sz w:val="24"/>
          <w:szCs w:val="24"/>
        </w:rPr>
        <w:t xml:space="preserve"> najneskôr do 20.12. 2021  a je účinná pre obdobie od 1.1. 2022 do 31.12. 2022 a do . 20.12. 2022  a je účinná pre obdobie od 1.1. 2023 do 31.12. 2023</w:t>
      </w:r>
    </w:p>
    <w:p w14:paraId="0299431E" w14:textId="3A4B484D" w:rsidR="005E6D64" w:rsidRPr="00C62ABD" w:rsidRDefault="005E6D64" w:rsidP="005E6D64">
      <w:pPr>
        <w:spacing w:before="240"/>
        <w:ind w:left="709"/>
        <w:rPr>
          <w:sz w:val="24"/>
          <w:szCs w:val="24"/>
        </w:rPr>
      </w:pPr>
      <w:r w:rsidRPr="009F525B">
        <w:rPr>
          <w:sz w:val="24"/>
          <w:szCs w:val="24"/>
        </w:rPr>
        <w:t>Výsledná SOPO sa zaokrúhľuje na päť desatinných miest podľa matematických pravidiel pre zaokrúhľovanie.</w:t>
      </w:r>
    </w:p>
    <w:p w14:paraId="1B5F1700" w14:textId="77777777" w:rsidR="009E2C51" w:rsidRPr="00C62ABD" w:rsidRDefault="009E2C51" w:rsidP="009E2C51">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14:paraId="60D57560" w14:textId="2A021B24" w:rsidR="00AF580D" w:rsidRDefault="009E2C51" w:rsidP="009E2C51">
      <w:pPr>
        <w:widowControl w:val="0"/>
        <w:spacing w:after="240"/>
        <w:ind w:left="709" w:right="113"/>
      </w:pPr>
      <w:r w:rsidRPr="009E2C51">
        <w:rPr>
          <w:sz w:val="24"/>
          <w:szCs w:val="24"/>
        </w:rPr>
        <w:t xml:space="preserve">9. </w:t>
      </w:r>
      <w:r w:rsidRPr="009E2C51">
        <w:rPr>
          <w:sz w:val="24"/>
          <w:szCs w:val="24"/>
        </w:rPr>
        <w:tab/>
      </w:r>
      <w:r w:rsidR="00AF580D" w:rsidRPr="009E2C51">
        <w:rPr>
          <w:sz w:val="24"/>
          <w:szCs w:val="24"/>
        </w:rPr>
        <w:t>V prípade ak odberateľ bude mať záujem počas obdobia plnenia tejto rámcovej dohody rozšíriť zoznam odberných miest o nové odberné miesta v akomkoľvek počte a v akejkoľvek skupiny odberu, budú pre tieto nové odberné miesta platiť rovnaké podmienky ako podmienky v zmysle čl. IV. tejto rámcovej dohody.</w:t>
      </w:r>
    </w:p>
    <w:p w14:paraId="7804DC82" w14:textId="77777777" w:rsidR="00AF580D" w:rsidRDefault="00AF580D" w:rsidP="00AF580D">
      <w:pPr>
        <w:spacing w:after="160"/>
        <w:contextualSpacing/>
      </w:pPr>
    </w:p>
    <w:p w14:paraId="5E46A805" w14:textId="77777777" w:rsidR="00AF580D" w:rsidRPr="00834726" w:rsidRDefault="00AF580D" w:rsidP="00AF580D">
      <w:pPr>
        <w:spacing w:after="160"/>
        <w:contextualSpacing/>
      </w:pPr>
    </w:p>
    <w:p w14:paraId="57A8A4E0"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V.</w:t>
      </w:r>
    </w:p>
    <w:p w14:paraId="7BCA1624"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Určenie ceny a platobné podmienky</w:t>
      </w:r>
    </w:p>
    <w:p w14:paraId="12C04B15" w14:textId="77777777" w:rsidR="00AF580D" w:rsidRPr="001E75E1" w:rsidRDefault="00AF580D" w:rsidP="00AF580D">
      <w:pPr>
        <w:widowControl w:val="0"/>
        <w:tabs>
          <w:tab w:val="left" w:pos="988"/>
        </w:tabs>
        <w:spacing w:after="240"/>
        <w:ind w:left="709" w:right="113"/>
        <w:rPr>
          <w:b/>
          <w:sz w:val="24"/>
          <w:szCs w:val="24"/>
        </w:rPr>
      </w:pPr>
      <w:r w:rsidRPr="001E75E1">
        <w:rPr>
          <w:b/>
          <w:sz w:val="24"/>
          <w:szCs w:val="24"/>
        </w:rPr>
        <w:t>Cena predmetu obstarania:</w:t>
      </w:r>
    </w:p>
    <w:p w14:paraId="760D1C99" w14:textId="77777777" w:rsidR="00AF580D" w:rsidRPr="001E75E1" w:rsidRDefault="00AF580D" w:rsidP="00AF580D">
      <w:pPr>
        <w:widowControl w:val="0"/>
        <w:tabs>
          <w:tab w:val="left" w:pos="1418"/>
          <w:tab w:val="left" w:pos="1843"/>
        </w:tabs>
        <w:spacing w:after="240"/>
        <w:ind w:left="709" w:right="113"/>
        <w:rPr>
          <w:sz w:val="24"/>
          <w:szCs w:val="24"/>
        </w:rPr>
      </w:pPr>
      <w:r w:rsidRPr="001E75E1">
        <w:rPr>
          <w:sz w:val="24"/>
          <w:szCs w:val="24"/>
        </w:rPr>
        <w:t>1.</w:t>
      </w:r>
      <w:r>
        <w:rPr>
          <w:sz w:val="24"/>
          <w:szCs w:val="24"/>
        </w:rPr>
        <w:tab/>
      </w:r>
      <w:r w:rsidRPr="001E75E1">
        <w:rPr>
          <w:sz w:val="24"/>
          <w:szCs w:val="24"/>
        </w:rPr>
        <w:t xml:space="preserve">Kúpna cena pre každú samostatnú zmluvu pre príslušné obdobie nákupu </w:t>
      </w:r>
      <w:r>
        <w:rPr>
          <w:sz w:val="24"/>
          <w:szCs w:val="24"/>
        </w:rPr>
        <w:t>zemného plynu</w:t>
      </w:r>
      <w:r w:rsidRPr="001E75E1">
        <w:rPr>
          <w:sz w:val="24"/>
          <w:szCs w:val="24"/>
        </w:rPr>
        <w:t xml:space="preserve"> sa vypočíta podľa nižšie uvedeného vzorca, určeného na základe výsledku verejného obstarávania. Kúpna cena je stanovená v súlade so zákonom č. 18/96 Z. z. v platnom znení. </w:t>
      </w:r>
    </w:p>
    <w:p w14:paraId="700F0DB8" w14:textId="77777777" w:rsidR="00AF580D" w:rsidRPr="00A30C69" w:rsidRDefault="00AF580D" w:rsidP="00AF580D">
      <w:pPr>
        <w:tabs>
          <w:tab w:val="left" w:pos="360"/>
        </w:tabs>
        <w:ind w:left="709"/>
        <w:rPr>
          <w:sz w:val="24"/>
          <w:szCs w:val="24"/>
        </w:rPr>
      </w:pPr>
      <w:r w:rsidRPr="00A63ACA">
        <w:rPr>
          <w:sz w:val="24"/>
          <w:szCs w:val="24"/>
        </w:rPr>
        <w:t>2.</w:t>
      </w:r>
      <w:r w:rsidRPr="00A63ACA">
        <w:rPr>
          <w:sz w:val="24"/>
          <w:szCs w:val="24"/>
        </w:rPr>
        <w:tab/>
      </w:r>
      <w:r w:rsidRPr="00A30C69">
        <w:rPr>
          <w:sz w:val="24"/>
          <w:szCs w:val="24"/>
        </w:rPr>
        <w:t>Vzorec pre výpočet zmluvnej ceny pre rok 202</w:t>
      </w:r>
      <w:r>
        <w:rPr>
          <w:sz w:val="24"/>
          <w:szCs w:val="24"/>
        </w:rPr>
        <w:t>2</w:t>
      </w:r>
      <w:r w:rsidRPr="00A30C69">
        <w:rPr>
          <w:sz w:val="24"/>
          <w:szCs w:val="24"/>
        </w:rPr>
        <w:t>:</w:t>
      </w:r>
    </w:p>
    <w:p w14:paraId="389FA2D2" w14:textId="77777777" w:rsidR="00E508B5" w:rsidRPr="00D05DEA" w:rsidRDefault="00E508B5" w:rsidP="00E508B5">
      <w:pPr>
        <w:tabs>
          <w:tab w:val="left" w:pos="360"/>
        </w:tabs>
        <w:ind w:left="709"/>
        <w:jc w:val="center"/>
        <w:rPr>
          <w:b/>
          <w:sz w:val="24"/>
          <w:szCs w:val="24"/>
        </w:rPr>
      </w:pPr>
      <w:r w:rsidRPr="00A30C69">
        <w:rPr>
          <w:b/>
          <w:sz w:val="24"/>
          <w:szCs w:val="24"/>
        </w:rPr>
        <w:t xml:space="preserve">C = </w:t>
      </w:r>
      <w:r>
        <w:rPr>
          <w:b/>
          <w:sz w:val="24"/>
          <w:szCs w:val="24"/>
        </w:rPr>
        <w:t>(</w:t>
      </w:r>
      <w:r w:rsidRPr="00A30C69">
        <w:rPr>
          <w:b/>
          <w:sz w:val="24"/>
          <w:szCs w:val="24"/>
        </w:rPr>
        <w:t>(</w:t>
      </w:r>
      <w:r>
        <w:rPr>
          <w:rFonts w:cs="Arial"/>
          <w:b/>
          <w:bCs/>
          <w:sz w:val="24"/>
          <w:szCs w:val="24"/>
        </w:rPr>
        <w:t>THE</w:t>
      </w:r>
      <w:r w:rsidRPr="00D05DEA">
        <w:rPr>
          <w:rFonts w:cs="Arial"/>
          <w:b/>
          <w:bCs/>
          <w:sz w:val="24"/>
          <w:szCs w:val="24"/>
        </w:rPr>
        <w:t xml:space="preserve">-Live </w:t>
      </w:r>
      <w:proofErr w:type="spellStart"/>
      <w:r w:rsidRPr="00D05DEA">
        <w:rPr>
          <w:rFonts w:cs="Arial"/>
          <w:b/>
          <w:bCs/>
          <w:sz w:val="24"/>
          <w:szCs w:val="24"/>
        </w:rPr>
        <w:t>Price</w:t>
      </w:r>
      <w:proofErr w:type="spellEnd"/>
      <w:r w:rsidRPr="00D05DEA">
        <w:rPr>
          <w:rFonts w:cs="Arial"/>
          <w:b/>
          <w:bCs/>
          <w:sz w:val="24"/>
          <w:szCs w:val="24"/>
        </w:rPr>
        <w:t xml:space="preserve"> -</w:t>
      </w:r>
      <w:proofErr w:type="spellStart"/>
      <w:r w:rsidRPr="00D05DEA">
        <w:rPr>
          <w:rFonts w:cs="Arial"/>
          <w:b/>
          <w:bCs/>
          <w:sz w:val="24"/>
          <w:szCs w:val="24"/>
        </w:rPr>
        <w:t>CalendarX</w:t>
      </w:r>
      <w:proofErr w:type="spellEnd"/>
      <w:r w:rsidRPr="00D05DEA">
        <w:rPr>
          <w:b/>
          <w:sz w:val="24"/>
          <w:szCs w:val="24"/>
        </w:rPr>
        <w:t xml:space="preserve"> + KMO) * SMO22) + ((</w:t>
      </w:r>
      <w:r w:rsidRPr="00D05DEA">
        <w:rPr>
          <w:rFonts w:cs="Arial"/>
          <w:b/>
          <w:bCs/>
          <w:sz w:val="24"/>
          <w:szCs w:val="24"/>
        </w:rPr>
        <w:t xml:space="preserve">THE- Live </w:t>
      </w:r>
      <w:proofErr w:type="spellStart"/>
      <w:r w:rsidRPr="00D05DEA">
        <w:rPr>
          <w:rFonts w:cs="Arial"/>
          <w:b/>
          <w:bCs/>
          <w:sz w:val="24"/>
          <w:szCs w:val="24"/>
        </w:rPr>
        <w:t>Price</w:t>
      </w:r>
      <w:proofErr w:type="spellEnd"/>
      <w:r w:rsidRPr="00D05DEA">
        <w:rPr>
          <w:rFonts w:cs="Arial"/>
          <w:b/>
          <w:bCs/>
          <w:sz w:val="24"/>
          <w:szCs w:val="24"/>
        </w:rPr>
        <w:t xml:space="preserve"> -</w:t>
      </w:r>
      <w:proofErr w:type="spellStart"/>
      <w:r w:rsidRPr="00D05DEA">
        <w:rPr>
          <w:rFonts w:cs="Arial"/>
          <w:b/>
          <w:bCs/>
          <w:sz w:val="24"/>
          <w:szCs w:val="24"/>
        </w:rPr>
        <w:t>CalendarX</w:t>
      </w:r>
      <w:proofErr w:type="spellEnd"/>
      <w:r w:rsidRPr="00D05DEA">
        <w:rPr>
          <w:b/>
          <w:sz w:val="24"/>
          <w:szCs w:val="24"/>
        </w:rPr>
        <w:t xml:space="preserve"> + KSO) * SSO22)</w:t>
      </w:r>
    </w:p>
    <w:p w14:paraId="5F362409" w14:textId="77777777" w:rsidR="00E508B5" w:rsidRPr="00D05DEA" w:rsidRDefault="00E508B5" w:rsidP="00E508B5">
      <w:pPr>
        <w:tabs>
          <w:tab w:val="left" w:pos="360"/>
        </w:tabs>
        <w:ind w:left="709"/>
        <w:rPr>
          <w:sz w:val="24"/>
          <w:szCs w:val="24"/>
        </w:rPr>
      </w:pPr>
      <w:r w:rsidRPr="00D05DEA">
        <w:rPr>
          <w:sz w:val="24"/>
          <w:szCs w:val="24"/>
        </w:rPr>
        <w:t>Vzorec pre výpočet zmluvnej ceny pre rok 2023:</w:t>
      </w:r>
    </w:p>
    <w:p w14:paraId="3B114DA1" w14:textId="77777777" w:rsidR="00E508B5" w:rsidRPr="00D05DEA" w:rsidRDefault="00E508B5" w:rsidP="00E508B5">
      <w:pPr>
        <w:tabs>
          <w:tab w:val="left" w:pos="360"/>
        </w:tabs>
        <w:ind w:left="709"/>
        <w:jc w:val="center"/>
        <w:rPr>
          <w:b/>
          <w:sz w:val="24"/>
          <w:szCs w:val="24"/>
        </w:rPr>
      </w:pPr>
      <w:r w:rsidRPr="00D05DEA">
        <w:rPr>
          <w:b/>
          <w:sz w:val="24"/>
          <w:szCs w:val="24"/>
        </w:rPr>
        <w:t>C = ((</w:t>
      </w:r>
      <w:r w:rsidRPr="00D05DEA">
        <w:rPr>
          <w:rFonts w:cs="Arial"/>
          <w:b/>
          <w:bCs/>
          <w:sz w:val="24"/>
          <w:szCs w:val="24"/>
        </w:rPr>
        <w:t xml:space="preserve">THE- Live </w:t>
      </w:r>
      <w:proofErr w:type="spellStart"/>
      <w:r w:rsidRPr="00D05DEA">
        <w:rPr>
          <w:rFonts w:cs="Arial"/>
          <w:b/>
          <w:bCs/>
          <w:sz w:val="24"/>
          <w:szCs w:val="24"/>
        </w:rPr>
        <w:t>Price</w:t>
      </w:r>
      <w:proofErr w:type="spellEnd"/>
      <w:r w:rsidRPr="00D05DEA">
        <w:rPr>
          <w:rFonts w:cs="Arial"/>
          <w:b/>
          <w:bCs/>
          <w:sz w:val="24"/>
          <w:szCs w:val="24"/>
        </w:rPr>
        <w:t xml:space="preserve"> -</w:t>
      </w:r>
      <w:proofErr w:type="spellStart"/>
      <w:r w:rsidRPr="00D05DEA">
        <w:rPr>
          <w:rFonts w:cs="Arial"/>
          <w:b/>
          <w:bCs/>
          <w:sz w:val="24"/>
          <w:szCs w:val="24"/>
        </w:rPr>
        <w:t>CalendarX</w:t>
      </w:r>
      <w:proofErr w:type="spellEnd"/>
      <w:r w:rsidRPr="00D05DEA">
        <w:rPr>
          <w:b/>
          <w:sz w:val="24"/>
          <w:szCs w:val="24"/>
        </w:rPr>
        <w:t xml:space="preserve"> + KMO) * SMO23) + ((</w:t>
      </w:r>
      <w:r w:rsidRPr="00D05DEA">
        <w:rPr>
          <w:rFonts w:cs="Arial"/>
          <w:b/>
          <w:bCs/>
          <w:sz w:val="24"/>
          <w:szCs w:val="24"/>
        </w:rPr>
        <w:t xml:space="preserve">THE- Live </w:t>
      </w:r>
      <w:proofErr w:type="spellStart"/>
      <w:r w:rsidRPr="00D05DEA">
        <w:rPr>
          <w:rFonts w:cs="Arial"/>
          <w:b/>
          <w:bCs/>
          <w:sz w:val="24"/>
          <w:szCs w:val="24"/>
        </w:rPr>
        <w:t>Price</w:t>
      </w:r>
      <w:proofErr w:type="spellEnd"/>
      <w:r w:rsidRPr="00D05DEA">
        <w:rPr>
          <w:rFonts w:cs="Arial"/>
          <w:b/>
          <w:bCs/>
          <w:sz w:val="24"/>
          <w:szCs w:val="24"/>
        </w:rPr>
        <w:t xml:space="preserve"> -</w:t>
      </w:r>
      <w:proofErr w:type="spellStart"/>
      <w:r w:rsidRPr="00D05DEA">
        <w:rPr>
          <w:rFonts w:cs="Arial"/>
          <w:b/>
          <w:bCs/>
          <w:sz w:val="24"/>
          <w:szCs w:val="24"/>
        </w:rPr>
        <w:t>CalendarX</w:t>
      </w:r>
      <w:proofErr w:type="spellEnd"/>
      <w:r w:rsidRPr="00D05DEA">
        <w:rPr>
          <w:b/>
          <w:sz w:val="24"/>
          <w:szCs w:val="24"/>
        </w:rPr>
        <w:t xml:space="preserve"> + KSO) * SSO23)</w:t>
      </w:r>
    </w:p>
    <w:p w14:paraId="21DBE398" w14:textId="77777777" w:rsidR="00E508B5" w:rsidRPr="00D05DEA" w:rsidRDefault="00E508B5" w:rsidP="00E508B5">
      <w:pPr>
        <w:tabs>
          <w:tab w:val="left" w:pos="360"/>
        </w:tabs>
        <w:spacing w:after="0"/>
        <w:ind w:left="709"/>
        <w:rPr>
          <w:sz w:val="24"/>
          <w:szCs w:val="24"/>
        </w:rPr>
      </w:pPr>
      <w:r w:rsidRPr="00D05DEA">
        <w:rPr>
          <w:sz w:val="24"/>
          <w:szCs w:val="24"/>
        </w:rPr>
        <w:t>Legenda pre skratky použité vo vzorcoch:</w:t>
      </w:r>
    </w:p>
    <w:p w14:paraId="0BB70A59" w14:textId="77777777" w:rsidR="00E508B5" w:rsidRPr="00D05DEA" w:rsidRDefault="00E508B5" w:rsidP="00E508B5">
      <w:pPr>
        <w:tabs>
          <w:tab w:val="left" w:pos="360"/>
        </w:tabs>
        <w:spacing w:after="0"/>
        <w:ind w:left="709"/>
        <w:rPr>
          <w:sz w:val="24"/>
          <w:szCs w:val="24"/>
        </w:rPr>
      </w:pPr>
      <w:r w:rsidRPr="00D05DEA">
        <w:rPr>
          <w:sz w:val="24"/>
          <w:szCs w:val="24"/>
        </w:rPr>
        <w:lastRenderedPageBreak/>
        <w:t xml:space="preserve">C </w:t>
      </w:r>
      <w:r w:rsidRPr="00D05DEA">
        <w:rPr>
          <w:sz w:val="24"/>
          <w:szCs w:val="24"/>
        </w:rPr>
        <w:tab/>
      </w:r>
      <w:r w:rsidRPr="00D05DEA">
        <w:rPr>
          <w:sz w:val="24"/>
          <w:szCs w:val="24"/>
        </w:rPr>
        <w:tab/>
      </w:r>
      <w:r w:rsidRPr="00D05DEA">
        <w:rPr>
          <w:sz w:val="24"/>
          <w:szCs w:val="24"/>
        </w:rPr>
        <w:tab/>
      </w:r>
      <w:r w:rsidRPr="00D05DEA">
        <w:rPr>
          <w:sz w:val="24"/>
          <w:szCs w:val="24"/>
        </w:rPr>
        <w:tab/>
      </w:r>
      <w:r w:rsidRPr="00D05DEA">
        <w:rPr>
          <w:sz w:val="24"/>
          <w:szCs w:val="24"/>
        </w:rPr>
        <w:tab/>
        <w:t>Celková cena predmetu obstarávania, vypočítaná pre možnosť objektívneho vyhodnotenia</w:t>
      </w:r>
    </w:p>
    <w:p w14:paraId="0814C0CB" w14:textId="77777777" w:rsidR="00E508B5" w:rsidRPr="00D05DEA" w:rsidRDefault="00E508B5" w:rsidP="00E508B5">
      <w:pPr>
        <w:tabs>
          <w:tab w:val="left" w:pos="360"/>
        </w:tabs>
        <w:spacing w:after="0"/>
        <w:ind w:left="709"/>
        <w:rPr>
          <w:sz w:val="24"/>
          <w:szCs w:val="24"/>
        </w:rPr>
      </w:pPr>
      <w:r w:rsidRPr="00D05DEA">
        <w:rPr>
          <w:sz w:val="24"/>
          <w:szCs w:val="24"/>
        </w:rPr>
        <w:t>SMO</w:t>
      </w:r>
      <w:r w:rsidRPr="00D05DEA">
        <w:rPr>
          <w:sz w:val="24"/>
          <w:szCs w:val="24"/>
        </w:rPr>
        <w:tab/>
      </w:r>
      <w:r w:rsidRPr="00D05DEA">
        <w:rPr>
          <w:sz w:val="24"/>
          <w:szCs w:val="24"/>
        </w:rPr>
        <w:tab/>
      </w:r>
      <w:r w:rsidRPr="00D05DEA">
        <w:rPr>
          <w:sz w:val="24"/>
          <w:szCs w:val="24"/>
        </w:rPr>
        <w:tab/>
      </w:r>
      <w:r w:rsidRPr="00D05DEA">
        <w:rPr>
          <w:sz w:val="24"/>
          <w:szCs w:val="24"/>
        </w:rPr>
        <w:tab/>
      </w:r>
      <w:r w:rsidRPr="00D05DEA">
        <w:rPr>
          <w:sz w:val="24"/>
          <w:szCs w:val="24"/>
        </w:rPr>
        <w:tab/>
        <w:t xml:space="preserve">Celková spotreba obstarávateľa v MWh – </w:t>
      </w:r>
      <w:proofErr w:type="spellStart"/>
      <w:r w:rsidRPr="00D05DEA">
        <w:rPr>
          <w:sz w:val="24"/>
          <w:szCs w:val="24"/>
        </w:rPr>
        <w:t>maloodber</w:t>
      </w:r>
      <w:proofErr w:type="spellEnd"/>
    </w:p>
    <w:p w14:paraId="1F34D1AA" w14:textId="77777777" w:rsidR="00E508B5" w:rsidRPr="00D05DEA" w:rsidRDefault="00E508B5" w:rsidP="00E508B5">
      <w:pPr>
        <w:tabs>
          <w:tab w:val="left" w:pos="360"/>
        </w:tabs>
        <w:spacing w:after="0"/>
        <w:ind w:left="709"/>
        <w:rPr>
          <w:sz w:val="24"/>
          <w:szCs w:val="24"/>
        </w:rPr>
      </w:pPr>
      <w:r w:rsidRPr="00D05DEA">
        <w:rPr>
          <w:sz w:val="24"/>
          <w:szCs w:val="24"/>
        </w:rPr>
        <w:t>KMO</w:t>
      </w:r>
      <w:r w:rsidRPr="00D05DEA">
        <w:rPr>
          <w:sz w:val="24"/>
          <w:szCs w:val="24"/>
        </w:rPr>
        <w:tab/>
      </w:r>
      <w:r w:rsidRPr="00D05DEA">
        <w:rPr>
          <w:sz w:val="24"/>
          <w:szCs w:val="24"/>
        </w:rPr>
        <w:tab/>
      </w:r>
      <w:r w:rsidRPr="00D05DEA">
        <w:rPr>
          <w:sz w:val="24"/>
          <w:szCs w:val="24"/>
        </w:rPr>
        <w:tab/>
      </w:r>
      <w:r w:rsidRPr="00D05DEA">
        <w:rPr>
          <w:sz w:val="24"/>
          <w:szCs w:val="24"/>
        </w:rPr>
        <w:tab/>
      </w:r>
      <w:r w:rsidRPr="00D05DEA">
        <w:rPr>
          <w:sz w:val="24"/>
          <w:szCs w:val="24"/>
        </w:rPr>
        <w:tab/>
        <w:t xml:space="preserve">Zmluvný aditívny koeficient – </w:t>
      </w:r>
      <w:proofErr w:type="spellStart"/>
      <w:r w:rsidRPr="00D05DEA">
        <w:rPr>
          <w:sz w:val="24"/>
          <w:szCs w:val="24"/>
        </w:rPr>
        <w:t>maloodber</w:t>
      </w:r>
      <w:proofErr w:type="spellEnd"/>
      <w:r w:rsidRPr="00D05DEA">
        <w:rPr>
          <w:sz w:val="24"/>
          <w:szCs w:val="24"/>
        </w:rPr>
        <w:t xml:space="preserve"> (zohľadňujúc všetky ďalšie náklady spojené s cenou zemného plynu - obchodná prirážka, cena za prepravu a skladovanie, bez spotrebnej dane a DPH) </w:t>
      </w:r>
    </w:p>
    <w:p w14:paraId="485C16C9" w14:textId="77777777" w:rsidR="00E508B5" w:rsidRPr="00D05DEA" w:rsidRDefault="00E508B5" w:rsidP="00E508B5">
      <w:pPr>
        <w:tabs>
          <w:tab w:val="left" w:pos="360"/>
        </w:tabs>
        <w:spacing w:after="0"/>
        <w:ind w:left="4248" w:hanging="3539"/>
        <w:rPr>
          <w:rFonts w:cs="Arial"/>
          <w:bCs/>
          <w:sz w:val="24"/>
          <w:szCs w:val="24"/>
        </w:rPr>
      </w:pPr>
      <w:r w:rsidRPr="00D05DEA">
        <w:rPr>
          <w:rFonts w:cs="Arial"/>
          <w:bCs/>
          <w:sz w:val="24"/>
          <w:szCs w:val="24"/>
        </w:rPr>
        <w:t>THE-</w:t>
      </w:r>
      <w:r w:rsidRPr="00D05DEA">
        <w:rPr>
          <w:rFonts w:cs="Arial"/>
          <w:b/>
          <w:bCs/>
          <w:sz w:val="24"/>
          <w:szCs w:val="24"/>
        </w:rPr>
        <w:t xml:space="preserve"> Live </w:t>
      </w:r>
      <w:proofErr w:type="spellStart"/>
      <w:r w:rsidRPr="00D05DEA">
        <w:rPr>
          <w:rFonts w:cs="Arial"/>
          <w:b/>
          <w:bCs/>
          <w:sz w:val="24"/>
          <w:szCs w:val="24"/>
        </w:rPr>
        <w:t>Price</w:t>
      </w:r>
      <w:proofErr w:type="spellEnd"/>
      <w:r w:rsidRPr="00D05DEA">
        <w:rPr>
          <w:rFonts w:cs="Arial"/>
          <w:bCs/>
          <w:sz w:val="24"/>
          <w:szCs w:val="24"/>
        </w:rPr>
        <w:t xml:space="preserve"> -</w:t>
      </w:r>
      <w:proofErr w:type="spellStart"/>
      <w:r w:rsidRPr="00D05DEA">
        <w:rPr>
          <w:rFonts w:cs="Arial"/>
          <w:bCs/>
          <w:sz w:val="24"/>
          <w:szCs w:val="24"/>
        </w:rPr>
        <w:t>CalendarX</w:t>
      </w:r>
      <w:proofErr w:type="spellEnd"/>
      <w:r w:rsidRPr="00D05DEA">
        <w:rPr>
          <w:sz w:val="24"/>
          <w:szCs w:val="24"/>
        </w:rPr>
        <w:tab/>
        <w:t xml:space="preserve">Burzová cena – presná hodnota </w:t>
      </w:r>
      <w:r w:rsidRPr="00D05DEA">
        <w:rPr>
          <w:rFonts w:cs="Arial"/>
          <w:bCs/>
          <w:sz w:val="24"/>
          <w:szCs w:val="24"/>
        </w:rPr>
        <w:t>THE-</w:t>
      </w:r>
      <w:r w:rsidRPr="00D05DEA">
        <w:rPr>
          <w:rFonts w:cs="Arial"/>
          <w:b/>
          <w:bCs/>
          <w:sz w:val="24"/>
          <w:szCs w:val="24"/>
        </w:rPr>
        <w:t xml:space="preserve"> Live </w:t>
      </w:r>
      <w:proofErr w:type="spellStart"/>
      <w:r w:rsidRPr="00D05DEA">
        <w:rPr>
          <w:rFonts w:cs="Arial"/>
          <w:b/>
          <w:bCs/>
          <w:sz w:val="24"/>
          <w:szCs w:val="24"/>
        </w:rPr>
        <w:t>Price</w:t>
      </w:r>
      <w:proofErr w:type="spellEnd"/>
      <w:r w:rsidRPr="00D05DEA">
        <w:rPr>
          <w:rFonts w:cs="Arial"/>
          <w:bCs/>
          <w:sz w:val="24"/>
          <w:szCs w:val="24"/>
        </w:rPr>
        <w:t xml:space="preserve"> -</w:t>
      </w:r>
      <w:proofErr w:type="spellStart"/>
      <w:r w:rsidRPr="00D05DEA">
        <w:rPr>
          <w:rFonts w:cs="Arial"/>
          <w:bCs/>
          <w:sz w:val="24"/>
          <w:szCs w:val="24"/>
        </w:rPr>
        <w:t>CalendarX</w:t>
      </w:r>
      <w:proofErr w:type="spellEnd"/>
    </w:p>
    <w:p w14:paraId="0FE3076C" w14:textId="77777777" w:rsidR="00E508B5" w:rsidRPr="00D05DEA" w:rsidRDefault="00E508B5" w:rsidP="00E508B5">
      <w:pPr>
        <w:tabs>
          <w:tab w:val="left" w:pos="360"/>
        </w:tabs>
        <w:spacing w:after="0"/>
        <w:ind w:left="4248" w:hanging="3539"/>
        <w:rPr>
          <w:sz w:val="24"/>
          <w:szCs w:val="24"/>
        </w:rPr>
      </w:pPr>
      <w:r w:rsidRPr="00D05DEA">
        <w:rPr>
          <w:sz w:val="24"/>
          <w:szCs w:val="24"/>
        </w:rPr>
        <w:t>SSO</w:t>
      </w:r>
      <w:r w:rsidRPr="00D05DEA">
        <w:rPr>
          <w:sz w:val="24"/>
          <w:szCs w:val="24"/>
        </w:rPr>
        <w:tab/>
        <w:t xml:space="preserve">Celková spotreba obstarávateľa v MWh – </w:t>
      </w:r>
      <w:proofErr w:type="spellStart"/>
      <w:r w:rsidRPr="00D05DEA">
        <w:rPr>
          <w:sz w:val="24"/>
          <w:szCs w:val="24"/>
        </w:rPr>
        <w:t>strednoodber</w:t>
      </w:r>
      <w:proofErr w:type="spellEnd"/>
    </w:p>
    <w:p w14:paraId="5F702E09" w14:textId="13A06B04" w:rsidR="00AF580D" w:rsidRPr="00D05DEA" w:rsidRDefault="00E508B5" w:rsidP="00E508B5">
      <w:pPr>
        <w:tabs>
          <w:tab w:val="left" w:pos="360"/>
        </w:tabs>
        <w:ind w:left="709" w:firstLine="5"/>
        <w:rPr>
          <w:rFonts w:cs="Arial"/>
          <w:bCs/>
          <w:spacing w:val="-7"/>
          <w:sz w:val="24"/>
          <w:szCs w:val="24"/>
        </w:rPr>
      </w:pPr>
      <w:r w:rsidRPr="00D05DEA">
        <w:rPr>
          <w:sz w:val="24"/>
          <w:szCs w:val="24"/>
        </w:rPr>
        <w:t>KSO</w:t>
      </w:r>
      <w:r w:rsidRPr="00D05DEA">
        <w:rPr>
          <w:sz w:val="24"/>
          <w:szCs w:val="24"/>
        </w:rPr>
        <w:tab/>
      </w:r>
      <w:r w:rsidRPr="00D05DEA">
        <w:rPr>
          <w:sz w:val="24"/>
          <w:szCs w:val="24"/>
        </w:rPr>
        <w:tab/>
      </w:r>
      <w:r w:rsidRPr="00D05DEA">
        <w:rPr>
          <w:sz w:val="24"/>
          <w:szCs w:val="24"/>
        </w:rPr>
        <w:tab/>
      </w:r>
      <w:r w:rsidRPr="00D05DEA">
        <w:rPr>
          <w:sz w:val="24"/>
          <w:szCs w:val="24"/>
        </w:rPr>
        <w:tab/>
      </w:r>
      <w:r w:rsidRPr="00D05DEA">
        <w:rPr>
          <w:sz w:val="24"/>
          <w:szCs w:val="24"/>
        </w:rPr>
        <w:tab/>
        <w:t xml:space="preserve">Zmluvný aditívny koeficient – </w:t>
      </w:r>
      <w:proofErr w:type="spellStart"/>
      <w:r w:rsidRPr="00D05DEA">
        <w:rPr>
          <w:sz w:val="24"/>
          <w:szCs w:val="24"/>
        </w:rPr>
        <w:t>strednoodber</w:t>
      </w:r>
      <w:proofErr w:type="spellEnd"/>
      <w:r w:rsidRPr="00D05DEA">
        <w:rPr>
          <w:sz w:val="24"/>
          <w:szCs w:val="24"/>
        </w:rPr>
        <w:t xml:space="preserve"> </w:t>
      </w:r>
      <w:r w:rsidR="00AF580D" w:rsidRPr="00D05DEA">
        <w:rPr>
          <w:sz w:val="24"/>
          <w:szCs w:val="24"/>
        </w:rPr>
        <w:t>(zohľadňujúc všetky ďalšie náklady spojené s cenou zemného plynu - obchodná prirážka, cena za prepravu a skladovanie, bez spotrebnej dane a DPH)</w:t>
      </w:r>
    </w:p>
    <w:p w14:paraId="6DA302E2" w14:textId="77777777" w:rsidR="00AF580D" w:rsidRPr="00D05DEA" w:rsidRDefault="00AF580D" w:rsidP="00AF580D">
      <w:pPr>
        <w:widowControl w:val="0"/>
        <w:tabs>
          <w:tab w:val="left" w:pos="709"/>
        </w:tabs>
        <w:spacing w:after="240"/>
        <w:ind w:left="709" w:right="113"/>
        <w:rPr>
          <w:b/>
          <w:sz w:val="24"/>
          <w:szCs w:val="24"/>
        </w:rPr>
      </w:pPr>
      <w:r w:rsidRPr="00D05DEA">
        <w:rPr>
          <w:sz w:val="24"/>
          <w:szCs w:val="24"/>
        </w:rPr>
        <w:t>Cena za fixné náklady na 1 odberné miesto/mesiac bude 0,00 €.</w:t>
      </w:r>
    </w:p>
    <w:p w14:paraId="21B27C5C" w14:textId="77777777" w:rsidR="00AF580D" w:rsidRPr="00D05DEA" w:rsidRDefault="00AF580D" w:rsidP="00AF580D">
      <w:pPr>
        <w:widowControl w:val="0"/>
        <w:tabs>
          <w:tab w:val="left" w:pos="709"/>
          <w:tab w:val="left" w:pos="1418"/>
        </w:tabs>
        <w:spacing w:after="240"/>
        <w:ind w:left="709" w:right="113"/>
        <w:rPr>
          <w:sz w:val="24"/>
          <w:szCs w:val="24"/>
        </w:rPr>
      </w:pPr>
      <w:r w:rsidRPr="00D05DEA">
        <w:rPr>
          <w:sz w:val="24"/>
          <w:szCs w:val="24"/>
        </w:rPr>
        <w:t>3.</w:t>
      </w:r>
      <w:r w:rsidRPr="00D05DEA">
        <w:rPr>
          <w:sz w:val="24"/>
          <w:szCs w:val="24"/>
        </w:rPr>
        <w:tab/>
        <w:t>V prípade, že takto stanovená zmluvná cena bude pre niektorého odberateľa v rozpore s príslušnou platnou legislatívou určujúcou cenovú reguláciu (malé podniky), úspešný uchádzač ako dodávateľ je povinný túto cenu upraviť tak, aby zodpovedala cenovej regulácii. Na ostatné zmluvné ceny sa toto ustanovenie nevzťahuje.</w:t>
      </w:r>
    </w:p>
    <w:p w14:paraId="57598A65" w14:textId="77777777" w:rsidR="00AF580D" w:rsidRPr="00D05DEA" w:rsidRDefault="00AF580D" w:rsidP="00AF580D">
      <w:pPr>
        <w:widowControl w:val="0"/>
        <w:tabs>
          <w:tab w:val="left" w:pos="1560"/>
        </w:tabs>
        <w:spacing w:after="0"/>
        <w:ind w:left="709" w:right="113"/>
        <w:rPr>
          <w:sz w:val="24"/>
          <w:szCs w:val="24"/>
        </w:rPr>
      </w:pPr>
      <w:r w:rsidRPr="00D05DEA">
        <w:rPr>
          <w:sz w:val="24"/>
          <w:szCs w:val="24"/>
        </w:rPr>
        <w:t>4.</w:t>
      </w:r>
      <w:r w:rsidRPr="00D05DEA">
        <w:rPr>
          <w:sz w:val="24"/>
          <w:szCs w:val="24"/>
        </w:rPr>
        <w:tab/>
        <w:t>Záväzný zmluvný koeficient jednotlivých odberov:</w:t>
      </w:r>
    </w:p>
    <w:p w14:paraId="211F2EA4" w14:textId="77777777" w:rsidR="00AF580D" w:rsidRPr="00D05DEA" w:rsidRDefault="00AF580D" w:rsidP="00AF580D">
      <w:pPr>
        <w:tabs>
          <w:tab w:val="left" w:pos="840"/>
        </w:tabs>
        <w:spacing w:after="0"/>
        <w:ind w:left="709"/>
        <w:rPr>
          <w:sz w:val="24"/>
          <w:szCs w:val="24"/>
        </w:rPr>
      </w:pPr>
      <w:r w:rsidRPr="00D05DEA">
        <w:rPr>
          <w:sz w:val="24"/>
          <w:szCs w:val="24"/>
        </w:rPr>
        <w:t xml:space="preserve">KMO = ......... </w:t>
      </w:r>
      <w:r w:rsidRPr="00D05DEA">
        <w:rPr>
          <w:sz w:val="24"/>
          <w:szCs w:val="24"/>
        </w:rPr>
        <w:tab/>
        <w:t xml:space="preserve">Aditívny koeficient </w:t>
      </w:r>
      <w:proofErr w:type="spellStart"/>
      <w:r w:rsidRPr="00D05DEA">
        <w:rPr>
          <w:sz w:val="24"/>
          <w:szCs w:val="24"/>
        </w:rPr>
        <w:t>maloodber</w:t>
      </w:r>
      <w:proofErr w:type="spellEnd"/>
    </w:p>
    <w:p w14:paraId="444D1D46" w14:textId="77777777" w:rsidR="00AF580D" w:rsidRPr="00D05DEA" w:rsidRDefault="00AF580D" w:rsidP="00AF580D">
      <w:pPr>
        <w:tabs>
          <w:tab w:val="left" w:pos="840"/>
        </w:tabs>
        <w:ind w:left="709"/>
        <w:rPr>
          <w:sz w:val="24"/>
          <w:szCs w:val="24"/>
        </w:rPr>
      </w:pPr>
      <w:r w:rsidRPr="00D05DEA">
        <w:rPr>
          <w:sz w:val="24"/>
          <w:szCs w:val="24"/>
        </w:rPr>
        <w:t>KSO = .........</w:t>
      </w:r>
      <w:r w:rsidRPr="00D05DEA">
        <w:rPr>
          <w:sz w:val="24"/>
          <w:szCs w:val="24"/>
        </w:rPr>
        <w:tab/>
        <w:t xml:space="preserve">Aditívny koeficient </w:t>
      </w:r>
      <w:proofErr w:type="spellStart"/>
      <w:r w:rsidRPr="00D05DEA">
        <w:rPr>
          <w:sz w:val="24"/>
          <w:szCs w:val="24"/>
        </w:rPr>
        <w:t>strednoodber</w:t>
      </w:r>
      <w:proofErr w:type="spellEnd"/>
    </w:p>
    <w:p w14:paraId="5D68DC25" w14:textId="77777777" w:rsidR="00AF580D" w:rsidRPr="00D05DEA" w:rsidRDefault="00AF580D" w:rsidP="00AF580D">
      <w:pPr>
        <w:tabs>
          <w:tab w:val="left" w:pos="709"/>
        </w:tabs>
        <w:spacing w:after="120"/>
        <w:ind w:left="709"/>
        <w:rPr>
          <w:sz w:val="24"/>
          <w:szCs w:val="24"/>
        </w:rPr>
      </w:pPr>
      <w:r w:rsidRPr="00D05DEA">
        <w:rPr>
          <w:sz w:val="24"/>
          <w:szCs w:val="24"/>
        </w:rPr>
        <w:t>Záväzné zmluvné ceny zemného plynu budú v objednávkach podľa Čl. V. bod 1 vyčíslené v nasledovnej štruktúre:</w:t>
      </w:r>
    </w:p>
    <w:p w14:paraId="1AD26FDB" w14:textId="77777777" w:rsidR="00AF580D" w:rsidRPr="00D05DEA" w:rsidRDefault="00AF580D" w:rsidP="00AF580D">
      <w:pPr>
        <w:tabs>
          <w:tab w:val="left" w:pos="709"/>
        </w:tabs>
        <w:spacing w:after="0"/>
        <w:rPr>
          <w:b/>
          <w:sz w:val="24"/>
          <w:szCs w:val="24"/>
        </w:rPr>
      </w:pPr>
      <w:r w:rsidRPr="00D05DEA">
        <w:rPr>
          <w:b/>
          <w:sz w:val="24"/>
          <w:szCs w:val="24"/>
        </w:rPr>
        <w:tab/>
        <w:t>Rok 2022:</w:t>
      </w:r>
    </w:p>
    <w:p w14:paraId="1619D411" w14:textId="20054891" w:rsidR="00AF580D" w:rsidRPr="00D05DEA" w:rsidRDefault="00AF580D" w:rsidP="00AF580D">
      <w:pPr>
        <w:tabs>
          <w:tab w:val="left" w:pos="709"/>
        </w:tabs>
        <w:spacing w:after="0"/>
        <w:ind w:left="709"/>
        <w:rPr>
          <w:sz w:val="24"/>
          <w:szCs w:val="24"/>
        </w:rPr>
      </w:pPr>
      <w:proofErr w:type="spellStart"/>
      <w:r w:rsidRPr="00D05DEA">
        <w:rPr>
          <w:sz w:val="24"/>
          <w:szCs w:val="24"/>
        </w:rPr>
        <w:t>SOPo</w:t>
      </w:r>
      <w:proofErr w:type="spellEnd"/>
      <w:r w:rsidRPr="00D05DEA">
        <w:rPr>
          <w:sz w:val="24"/>
          <w:szCs w:val="24"/>
        </w:rPr>
        <w:t>(MO22) = KMO +</w:t>
      </w:r>
      <w:r w:rsidR="00E508B5" w:rsidRPr="00D05DEA">
        <w:rPr>
          <w:rFonts w:cs="Arial"/>
          <w:bCs/>
          <w:sz w:val="24"/>
          <w:szCs w:val="24"/>
        </w:rPr>
        <w:t xml:space="preserve"> 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 ....................€/MWh</w:t>
      </w:r>
    </w:p>
    <w:p w14:paraId="77E949CB" w14:textId="6D479F51" w:rsidR="00AF580D" w:rsidRPr="00D05DEA" w:rsidRDefault="00AF580D" w:rsidP="00AF580D">
      <w:pPr>
        <w:tabs>
          <w:tab w:val="left" w:pos="709"/>
        </w:tabs>
        <w:spacing w:after="0"/>
        <w:ind w:left="709"/>
        <w:rPr>
          <w:sz w:val="24"/>
          <w:szCs w:val="24"/>
        </w:rPr>
      </w:pPr>
      <w:proofErr w:type="spellStart"/>
      <w:r w:rsidRPr="00D05DEA">
        <w:rPr>
          <w:sz w:val="24"/>
          <w:szCs w:val="24"/>
        </w:rPr>
        <w:t>SOPo</w:t>
      </w:r>
      <w:proofErr w:type="spellEnd"/>
      <w:r w:rsidRPr="00D05DEA">
        <w:rPr>
          <w:sz w:val="24"/>
          <w:szCs w:val="24"/>
        </w:rPr>
        <w:t xml:space="preserve">(SO22) = KSO +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 ....................€/MWh</w:t>
      </w:r>
    </w:p>
    <w:p w14:paraId="4BC0E4BC" w14:textId="77777777" w:rsidR="00AF580D" w:rsidRPr="00D05DEA" w:rsidRDefault="00AF580D" w:rsidP="00AF580D">
      <w:pPr>
        <w:tabs>
          <w:tab w:val="left" w:pos="709"/>
        </w:tabs>
        <w:spacing w:after="0"/>
        <w:rPr>
          <w:b/>
          <w:sz w:val="24"/>
          <w:szCs w:val="24"/>
        </w:rPr>
      </w:pPr>
      <w:r w:rsidRPr="00D05DEA">
        <w:rPr>
          <w:b/>
          <w:sz w:val="24"/>
          <w:szCs w:val="24"/>
        </w:rPr>
        <w:tab/>
        <w:t>Rok 2023:</w:t>
      </w:r>
    </w:p>
    <w:p w14:paraId="4213E108" w14:textId="384FB7BB" w:rsidR="00AF580D" w:rsidRPr="00D05DEA" w:rsidRDefault="00AF580D" w:rsidP="00AF580D">
      <w:pPr>
        <w:tabs>
          <w:tab w:val="left" w:pos="709"/>
        </w:tabs>
        <w:spacing w:after="0"/>
        <w:ind w:left="709"/>
        <w:rPr>
          <w:sz w:val="24"/>
          <w:szCs w:val="24"/>
        </w:rPr>
      </w:pPr>
      <w:proofErr w:type="spellStart"/>
      <w:r w:rsidRPr="00D05DEA">
        <w:rPr>
          <w:sz w:val="24"/>
          <w:szCs w:val="24"/>
        </w:rPr>
        <w:t>SOPo</w:t>
      </w:r>
      <w:proofErr w:type="spellEnd"/>
      <w:r w:rsidRPr="00D05DEA">
        <w:rPr>
          <w:sz w:val="24"/>
          <w:szCs w:val="24"/>
        </w:rPr>
        <w:t xml:space="preserve">(MO23) = KMO +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 ....................€/MWh</w:t>
      </w:r>
    </w:p>
    <w:p w14:paraId="0FACB67E" w14:textId="6BA2CB62" w:rsidR="00AF580D" w:rsidRPr="00D05DEA" w:rsidRDefault="00AF580D" w:rsidP="00AF580D">
      <w:pPr>
        <w:tabs>
          <w:tab w:val="left" w:pos="709"/>
        </w:tabs>
        <w:spacing w:after="0"/>
        <w:ind w:left="709"/>
        <w:rPr>
          <w:sz w:val="24"/>
          <w:szCs w:val="24"/>
        </w:rPr>
      </w:pPr>
      <w:proofErr w:type="spellStart"/>
      <w:r w:rsidRPr="00D05DEA">
        <w:rPr>
          <w:sz w:val="24"/>
          <w:szCs w:val="24"/>
        </w:rPr>
        <w:t>SOPo</w:t>
      </w:r>
      <w:proofErr w:type="spellEnd"/>
      <w:r w:rsidRPr="00D05DEA">
        <w:rPr>
          <w:sz w:val="24"/>
          <w:szCs w:val="24"/>
        </w:rPr>
        <w:t xml:space="preserve">(SO23) = KSO +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rFonts w:cs="Arial"/>
          <w:bCs/>
          <w:sz w:val="24"/>
          <w:szCs w:val="24"/>
        </w:rPr>
        <w:t xml:space="preserve"> </w:t>
      </w:r>
      <w:r w:rsidRPr="00D05DEA">
        <w:rPr>
          <w:rFonts w:cs="Arial"/>
          <w:bCs/>
          <w:spacing w:val="-7"/>
          <w:sz w:val="24"/>
          <w:szCs w:val="24"/>
        </w:rPr>
        <w:t xml:space="preserve"> </w:t>
      </w:r>
      <w:r w:rsidRPr="00D05DEA">
        <w:rPr>
          <w:sz w:val="24"/>
          <w:szCs w:val="24"/>
        </w:rPr>
        <w:t>= ....................€/MWh</w:t>
      </w:r>
    </w:p>
    <w:p w14:paraId="6FE1B74B" w14:textId="77777777" w:rsidR="00AF580D" w:rsidRPr="00D05DEA" w:rsidRDefault="00AF580D" w:rsidP="00AF580D">
      <w:pPr>
        <w:tabs>
          <w:tab w:val="left" w:pos="709"/>
        </w:tabs>
        <w:spacing w:after="0"/>
        <w:rPr>
          <w:sz w:val="24"/>
          <w:szCs w:val="24"/>
        </w:rPr>
      </w:pPr>
      <w:r w:rsidRPr="00D05DEA">
        <w:rPr>
          <w:b/>
          <w:sz w:val="24"/>
          <w:szCs w:val="24"/>
        </w:rPr>
        <w:tab/>
      </w:r>
    </w:p>
    <w:p w14:paraId="4141A8F0" w14:textId="76E75661" w:rsidR="00AF580D" w:rsidRDefault="00AF580D" w:rsidP="00AF580D">
      <w:pPr>
        <w:tabs>
          <w:tab w:val="left" w:pos="709"/>
        </w:tabs>
        <w:ind w:left="709"/>
        <w:rPr>
          <w:sz w:val="24"/>
          <w:szCs w:val="24"/>
        </w:rPr>
      </w:pPr>
      <w:r w:rsidRPr="00D05DEA">
        <w:rPr>
          <w:sz w:val="24"/>
          <w:szCs w:val="24"/>
        </w:rPr>
        <w:t xml:space="preserve">Ceny jednotlivých odberov vypočítané uvedeným výpočtom z koeficientov jednotlivých odberov a aktuálnej hodnoty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 xml:space="preserve">(koncovka „X“ sa nahradí koncovkou čísla aktuálneho roka pre daný rok nákupu) budú platiť pre všetky odberné miesta a budú v nej zahrnuté všetky náklady spojené s cenou zemného plynu. Presná hodnota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sa určí ako hodnota THE</w:t>
      </w:r>
      <w:r w:rsidRPr="00D05DEA">
        <w:rPr>
          <w:sz w:val="24"/>
          <w:szCs w:val="24"/>
          <w:vertAlign w:val="subscript"/>
        </w:rPr>
        <w:t xml:space="preserve">YA </w:t>
      </w:r>
      <w:r w:rsidRPr="00D05DEA">
        <w:rPr>
          <w:sz w:val="24"/>
          <w:szCs w:val="24"/>
        </w:rPr>
        <w:t xml:space="preserve">, </w:t>
      </w:r>
      <w:proofErr w:type="spellStart"/>
      <w:r w:rsidRPr="00D05DEA">
        <w:rPr>
          <w:sz w:val="24"/>
          <w:szCs w:val="24"/>
        </w:rPr>
        <w:t>t.j</w:t>
      </w:r>
      <w:proofErr w:type="spellEnd"/>
      <w:r w:rsidRPr="00D05DEA">
        <w:rPr>
          <w:sz w:val="24"/>
          <w:szCs w:val="24"/>
        </w:rPr>
        <w:t xml:space="preserve">. hodnota </w:t>
      </w:r>
      <w:proofErr w:type="spellStart"/>
      <w:r w:rsidRPr="00D05DEA">
        <w:rPr>
          <w:sz w:val="24"/>
          <w:szCs w:val="24"/>
        </w:rPr>
        <w:t>the</w:t>
      </w:r>
      <w:proofErr w:type="spellEnd"/>
      <w:r w:rsidRPr="00D05DEA">
        <w:rPr>
          <w:sz w:val="24"/>
          <w:szCs w:val="24"/>
        </w:rPr>
        <w:t xml:space="preserve"> </w:t>
      </w:r>
      <w:proofErr w:type="spellStart"/>
      <w:r w:rsidRPr="00D05DEA">
        <w:rPr>
          <w:sz w:val="24"/>
          <w:szCs w:val="24"/>
        </w:rPr>
        <w:t>year</w:t>
      </w:r>
      <w:proofErr w:type="spellEnd"/>
      <w:r w:rsidRPr="00D05DEA">
        <w:rPr>
          <w:sz w:val="24"/>
          <w:szCs w:val="24"/>
        </w:rPr>
        <w:t xml:space="preserve"> </w:t>
      </w:r>
      <w:proofErr w:type="spellStart"/>
      <w:r w:rsidRPr="00D05DEA">
        <w:rPr>
          <w:sz w:val="24"/>
          <w:szCs w:val="24"/>
        </w:rPr>
        <w:t>Ahead</w:t>
      </w:r>
      <w:proofErr w:type="spellEnd"/>
      <w:r w:rsidRPr="00D05DEA">
        <w:rPr>
          <w:sz w:val="24"/>
          <w:szCs w:val="24"/>
        </w:rPr>
        <w:t xml:space="preserve"> (Cal) „</w:t>
      </w:r>
      <w:proofErr w:type="spellStart"/>
      <w:r w:rsidRPr="00D05DEA">
        <w:rPr>
          <w:sz w:val="24"/>
          <w:szCs w:val="24"/>
        </w:rPr>
        <w:t>Settlement</w:t>
      </w:r>
      <w:proofErr w:type="spellEnd"/>
      <w:r w:rsidRPr="00D05DEA">
        <w:rPr>
          <w:sz w:val="24"/>
          <w:szCs w:val="24"/>
        </w:rPr>
        <w:t xml:space="preserve"> </w:t>
      </w:r>
      <w:proofErr w:type="spellStart"/>
      <w:r w:rsidRPr="00D05DEA">
        <w:rPr>
          <w:sz w:val="24"/>
          <w:szCs w:val="24"/>
        </w:rPr>
        <w:t>Price</w:t>
      </w:r>
      <w:proofErr w:type="spellEnd"/>
      <w:r w:rsidRPr="00D05DEA">
        <w:rPr>
          <w:sz w:val="24"/>
          <w:szCs w:val="24"/>
        </w:rPr>
        <w:t xml:space="preserve">“ zverejnená v tabuľke </w:t>
      </w:r>
      <w:r w:rsidR="00E508B5" w:rsidRPr="00D05DEA">
        <w:rPr>
          <w:rFonts w:cs="Arial"/>
          <w:bCs/>
          <w:sz w:val="24"/>
          <w:szCs w:val="24"/>
        </w:rPr>
        <w:t>THE-</w:t>
      </w:r>
      <w:r w:rsidR="00E508B5" w:rsidRPr="00D05DEA">
        <w:rPr>
          <w:rFonts w:cs="Arial"/>
          <w:b/>
          <w:bCs/>
          <w:sz w:val="24"/>
          <w:szCs w:val="24"/>
        </w:rPr>
        <w:t xml:space="preserve"> Live </w:t>
      </w:r>
      <w:proofErr w:type="spellStart"/>
      <w:r w:rsidR="00E508B5" w:rsidRPr="00D05DEA">
        <w:rPr>
          <w:rFonts w:cs="Arial"/>
          <w:b/>
          <w:bCs/>
          <w:sz w:val="24"/>
          <w:szCs w:val="24"/>
        </w:rPr>
        <w:t>Price</w:t>
      </w:r>
      <w:proofErr w:type="spellEnd"/>
      <w:r w:rsidR="00E508B5" w:rsidRPr="00D05DEA">
        <w:rPr>
          <w:rFonts w:cs="Arial"/>
          <w:bCs/>
          <w:sz w:val="24"/>
          <w:szCs w:val="24"/>
        </w:rPr>
        <w:t xml:space="preserve"> -</w:t>
      </w:r>
      <w:proofErr w:type="spellStart"/>
      <w:r w:rsidR="00E508B5" w:rsidRPr="00D05DEA">
        <w:rPr>
          <w:rFonts w:cs="Arial"/>
          <w:bCs/>
          <w:sz w:val="24"/>
          <w:szCs w:val="24"/>
        </w:rPr>
        <w:t>CalendarX</w:t>
      </w:r>
      <w:proofErr w:type="spellEnd"/>
      <w:r w:rsidR="00E508B5" w:rsidRPr="00D05DEA">
        <w:rPr>
          <w:sz w:val="24"/>
          <w:szCs w:val="24"/>
        </w:rPr>
        <w:t xml:space="preserve"> </w:t>
      </w:r>
      <w:r w:rsidRPr="00D05DEA">
        <w:rPr>
          <w:sz w:val="24"/>
          <w:szCs w:val="24"/>
        </w:rPr>
        <w:t xml:space="preserve">pre príslušný kalendárny rok pre deň určený odberateľom, pre ktorý sa </w:t>
      </w:r>
      <w:proofErr w:type="spellStart"/>
      <w:r w:rsidRPr="00D05DEA">
        <w:rPr>
          <w:sz w:val="24"/>
          <w:szCs w:val="24"/>
        </w:rPr>
        <w:t>SOPo</w:t>
      </w:r>
      <w:proofErr w:type="spellEnd"/>
      <w:r w:rsidRPr="00D05DEA">
        <w:rPr>
          <w:sz w:val="24"/>
          <w:szCs w:val="24"/>
        </w:rPr>
        <w:t xml:space="preserve"> stanovuje. Hodnoty </w:t>
      </w:r>
      <w:proofErr w:type="spellStart"/>
      <w:r w:rsidRPr="00D05DEA">
        <w:rPr>
          <w:sz w:val="24"/>
          <w:szCs w:val="24"/>
        </w:rPr>
        <w:t>the</w:t>
      </w:r>
      <w:proofErr w:type="spellEnd"/>
      <w:r w:rsidRPr="00D05DEA">
        <w:rPr>
          <w:sz w:val="24"/>
          <w:szCs w:val="24"/>
        </w:rPr>
        <w:t xml:space="preserve"> „</w:t>
      </w:r>
      <w:proofErr w:type="spellStart"/>
      <w:r w:rsidRPr="00D05DEA">
        <w:rPr>
          <w:sz w:val="24"/>
          <w:szCs w:val="24"/>
        </w:rPr>
        <w:t>Settl.Price</w:t>
      </w:r>
      <w:proofErr w:type="spellEnd"/>
      <w:r w:rsidRPr="00D05DEA">
        <w:rPr>
          <w:sz w:val="24"/>
          <w:szCs w:val="24"/>
        </w:rPr>
        <w:t>“ sú publi</w:t>
      </w:r>
      <w:r w:rsidRPr="001E75E1">
        <w:rPr>
          <w:sz w:val="24"/>
          <w:szCs w:val="24"/>
        </w:rPr>
        <w:t xml:space="preserve">kované na dennej báze na stránke </w:t>
      </w:r>
      <w:hyperlink r:id="rId5" w:history="1">
        <w:r w:rsidRPr="00A0534C">
          <w:rPr>
            <w:rStyle w:val="Hypertextovprepojenie"/>
            <w:sz w:val="24"/>
            <w:szCs w:val="24"/>
          </w:rPr>
          <w:t>https://www.powernext.com/futures-market-data</w:t>
        </w:r>
      </w:hyperlink>
      <w:r>
        <w:rPr>
          <w:sz w:val="24"/>
          <w:szCs w:val="24"/>
        </w:rPr>
        <w:t xml:space="preserve">. </w:t>
      </w:r>
    </w:p>
    <w:p w14:paraId="0EFAE039" w14:textId="77777777" w:rsidR="00AF580D" w:rsidRPr="001E75E1" w:rsidRDefault="00AF580D" w:rsidP="00AF580D">
      <w:pPr>
        <w:tabs>
          <w:tab w:val="left" w:pos="709"/>
        </w:tabs>
        <w:ind w:left="709"/>
        <w:rPr>
          <w:sz w:val="24"/>
          <w:szCs w:val="24"/>
        </w:rPr>
      </w:pPr>
      <w:r w:rsidRPr="001E75E1">
        <w:rPr>
          <w:sz w:val="24"/>
          <w:szCs w:val="24"/>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w:t>
      </w:r>
      <w:r w:rsidRPr="001E75E1">
        <w:rPr>
          <w:sz w:val="24"/>
          <w:szCs w:val="24"/>
        </w:rPr>
        <w:lastRenderedPageBreak/>
        <w:t xml:space="preserve">regulovaných poplatkov za distribúciu </w:t>
      </w:r>
      <w:r>
        <w:rPr>
          <w:sz w:val="24"/>
          <w:szCs w:val="24"/>
        </w:rPr>
        <w:t>zemného plynu</w:t>
      </w:r>
      <w:r w:rsidRPr="001E75E1">
        <w:rPr>
          <w:sz w:val="24"/>
          <w:szCs w:val="24"/>
        </w:rPr>
        <w:t xml:space="preserve"> vrátane </w:t>
      </w:r>
      <w:r>
        <w:rPr>
          <w:sz w:val="24"/>
          <w:szCs w:val="24"/>
        </w:rPr>
        <w:t xml:space="preserve">jej </w:t>
      </w:r>
      <w:r w:rsidRPr="001E75E1">
        <w:rPr>
          <w:sz w:val="24"/>
          <w:szCs w:val="24"/>
        </w:rPr>
        <w:t xml:space="preserve">prenosu a strát pri prenose </w:t>
      </w:r>
      <w:r>
        <w:rPr>
          <w:sz w:val="24"/>
          <w:szCs w:val="24"/>
        </w:rPr>
        <w:t>zemného plynu</w:t>
      </w:r>
      <w:r w:rsidRPr="001E75E1">
        <w:rPr>
          <w:sz w:val="24"/>
          <w:szCs w:val="24"/>
        </w:rPr>
        <w:t>, systémové služby, náklady systému a ostatné poplatky vo výške stanovenej platnými a účinnými rozhodnutiami Úradu pre reguláciu sieťových odvetví Slovenskej republiky (ďalej len „ÚRSO“) budú fakturované v jednej faktúre, spolu s cenou zemného plynu.</w:t>
      </w:r>
    </w:p>
    <w:p w14:paraId="4978A6CD"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w:t>
      </w:r>
      <w:r>
        <w:rPr>
          <w:sz w:val="24"/>
          <w:szCs w:val="24"/>
        </w:rPr>
        <w:t>ie</w:t>
      </w:r>
      <w:r w:rsidRPr="001E75E1">
        <w:rPr>
          <w:sz w:val="24"/>
          <w:szCs w:val="24"/>
        </w:rPr>
        <w:t xml:space="preserve"> zemného plynu sa zaväzuje odberateľ uhradiť spôsobom podľa dohody.</w:t>
      </w:r>
    </w:p>
    <w:p w14:paraId="34A3D3E0"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Spôsob úhrady preddavkov a faktúr sa bude realizovať prevodným príkazom alebo inkasným príkazom.</w:t>
      </w:r>
    </w:p>
    <w:p w14:paraId="0C040435"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112211D7"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 xml:space="preserve">Dodávateľovi vzniká voči odberateľovi nárok na cenu plnenia za dodávku zemného plynu a dohodnutých distribučných služieb, ktoré sú predmetom tejto rámcovej dohody, na základe daňového dokladu – faktúry, vystaveného najneskôr do 15. dňa nasledujúceho mesiaca, so splatnosťou 30 dní od dátumu vystavenia faktúry dodávateľom. </w:t>
      </w:r>
    </w:p>
    <w:p w14:paraId="63131B80"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1E75E1">
        <w:rPr>
          <w:sz w:val="24"/>
          <w:szCs w:val="24"/>
        </w:rPr>
        <w:t>Dodávateľ nie je oprávnený fakturovať žiadne fixné poplatky súvisiace s dodávkou zemného plynu.</w:t>
      </w:r>
    </w:p>
    <w:p w14:paraId="6F12F8C1"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 xml:space="preserve">Nárok dodávateľa voči odberateľovi na zálohové platby na odobratý zemný plyn bude 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45DDFC99" w14:textId="77777777" w:rsidR="00AF580D" w:rsidRPr="001E75E1" w:rsidRDefault="00AF580D" w:rsidP="00AF580D">
      <w:pPr>
        <w:widowControl w:val="0"/>
        <w:numPr>
          <w:ilvl w:val="0"/>
          <w:numId w:val="6"/>
        </w:numPr>
        <w:tabs>
          <w:tab w:val="left" w:pos="1418"/>
          <w:tab w:val="left" w:pos="1560"/>
        </w:tabs>
        <w:spacing w:after="240"/>
        <w:ind w:left="709" w:right="-1"/>
        <w:rPr>
          <w:sz w:val="24"/>
          <w:szCs w:val="24"/>
        </w:rPr>
      </w:pPr>
      <w:r w:rsidRPr="001E75E1">
        <w:rPr>
          <w:sz w:val="24"/>
          <w:szCs w:val="24"/>
        </w:rPr>
        <w:t>Vo vyúčtovacích faktúrach sa zohľadnia všetky uhradené preddavky za obdobie, za ktoré sa dodávka uskutočnila. Splatnosť vyúčtovacích faktúr je v súlade s bodom 10 tohto článku.</w:t>
      </w:r>
    </w:p>
    <w:p w14:paraId="7030566A" w14:textId="77777777" w:rsidR="00AF580D" w:rsidRPr="001E75E1" w:rsidRDefault="00AF580D" w:rsidP="00AF580D">
      <w:pPr>
        <w:numPr>
          <w:ilvl w:val="0"/>
          <w:numId w:val="6"/>
        </w:numPr>
        <w:tabs>
          <w:tab w:val="left" w:pos="851"/>
        </w:tabs>
        <w:ind w:left="709"/>
        <w:rPr>
          <w:sz w:val="24"/>
          <w:szCs w:val="24"/>
        </w:rPr>
      </w:pPr>
      <w:r w:rsidRPr="001E75E1">
        <w:rPr>
          <w:sz w:val="24"/>
          <w:szCs w:val="24"/>
        </w:rPr>
        <w:t>Sankcie za prekročenie denného maximálneho množstva (DMM) môžu byť účtované iba v</w:t>
      </w:r>
      <w:r>
        <w:rPr>
          <w:sz w:val="24"/>
          <w:szCs w:val="24"/>
        </w:rPr>
        <w:t xml:space="preserve"> </w:t>
      </w:r>
      <w:r w:rsidRPr="001E75E1">
        <w:rPr>
          <w:sz w:val="24"/>
          <w:szCs w:val="24"/>
        </w:rPr>
        <w:t>zmysle platného rozhodnutia Úradu pre reguláciu sieťových odvetví.</w:t>
      </w:r>
    </w:p>
    <w:p w14:paraId="39ACA61E" w14:textId="77777777" w:rsidR="00E508B5" w:rsidRDefault="00E508B5" w:rsidP="00D05DEA">
      <w:pPr>
        <w:tabs>
          <w:tab w:val="left" w:pos="360"/>
        </w:tabs>
        <w:spacing w:after="0"/>
        <w:ind w:left="709"/>
        <w:rPr>
          <w:rFonts w:eastAsia="Times New Roman"/>
          <w:b/>
          <w:sz w:val="24"/>
          <w:szCs w:val="24"/>
          <w:lang w:eastAsia="sk-SK"/>
        </w:rPr>
      </w:pPr>
    </w:p>
    <w:p w14:paraId="50A56E71" w14:textId="77777777" w:rsidR="00D05DEA" w:rsidRDefault="00D05DEA" w:rsidP="00D05DEA">
      <w:pPr>
        <w:tabs>
          <w:tab w:val="left" w:pos="360"/>
        </w:tabs>
        <w:spacing w:after="0"/>
        <w:ind w:left="709"/>
        <w:rPr>
          <w:rFonts w:eastAsia="Times New Roman"/>
          <w:b/>
          <w:sz w:val="24"/>
          <w:szCs w:val="24"/>
          <w:lang w:eastAsia="sk-SK"/>
        </w:rPr>
      </w:pPr>
    </w:p>
    <w:p w14:paraId="758AC9FA" w14:textId="77777777" w:rsidR="00D05DEA" w:rsidRDefault="00D05DEA" w:rsidP="00D05DEA">
      <w:pPr>
        <w:tabs>
          <w:tab w:val="left" w:pos="360"/>
        </w:tabs>
        <w:spacing w:after="0"/>
        <w:ind w:left="709"/>
        <w:rPr>
          <w:rFonts w:eastAsia="Times New Roman"/>
          <w:b/>
          <w:sz w:val="24"/>
          <w:szCs w:val="24"/>
          <w:lang w:eastAsia="sk-SK"/>
        </w:rPr>
      </w:pPr>
    </w:p>
    <w:p w14:paraId="68736F5C" w14:textId="77777777" w:rsidR="00D05DEA" w:rsidRDefault="00D05DEA" w:rsidP="00D05DEA">
      <w:pPr>
        <w:tabs>
          <w:tab w:val="left" w:pos="360"/>
        </w:tabs>
        <w:spacing w:after="0"/>
        <w:ind w:left="709"/>
        <w:rPr>
          <w:rFonts w:eastAsia="Times New Roman"/>
          <w:b/>
          <w:sz w:val="24"/>
          <w:szCs w:val="24"/>
          <w:lang w:eastAsia="sk-SK"/>
        </w:rPr>
      </w:pPr>
      <w:bookmarkStart w:id="3" w:name="_GoBack"/>
      <w:bookmarkEnd w:id="3"/>
    </w:p>
    <w:p w14:paraId="1A77AB4B" w14:textId="77777777" w:rsidR="00E508B5" w:rsidRDefault="00E508B5" w:rsidP="00AF580D">
      <w:pPr>
        <w:tabs>
          <w:tab w:val="left" w:pos="360"/>
        </w:tabs>
        <w:spacing w:after="0"/>
        <w:ind w:left="709"/>
        <w:jc w:val="center"/>
        <w:rPr>
          <w:rFonts w:eastAsia="Times New Roman"/>
          <w:b/>
          <w:sz w:val="24"/>
          <w:szCs w:val="24"/>
          <w:lang w:eastAsia="sk-SK"/>
        </w:rPr>
      </w:pPr>
    </w:p>
    <w:p w14:paraId="097022BD" w14:textId="2F6D9847" w:rsidR="00AF580D" w:rsidRPr="001E75E1" w:rsidRDefault="00AF580D" w:rsidP="00AF580D">
      <w:pPr>
        <w:tabs>
          <w:tab w:val="left" w:pos="360"/>
        </w:tabs>
        <w:spacing w:after="0"/>
        <w:ind w:left="709"/>
        <w:jc w:val="center"/>
        <w:rPr>
          <w:rFonts w:eastAsia="Times New Roman"/>
          <w:b/>
          <w:sz w:val="24"/>
          <w:szCs w:val="24"/>
          <w:lang w:eastAsia="sk-SK"/>
        </w:rPr>
      </w:pPr>
      <w:r w:rsidRPr="001E75E1">
        <w:rPr>
          <w:rFonts w:eastAsia="Times New Roman"/>
          <w:b/>
          <w:sz w:val="24"/>
          <w:szCs w:val="24"/>
          <w:lang w:eastAsia="sk-SK"/>
        </w:rPr>
        <w:lastRenderedPageBreak/>
        <w:t>Čl. VI.</w:t>
      </w:r>
    </w:p>
    <w:p w14:paraId="2DF15473" w14:textId="77777777" w:rsidR="00AF580D" w:rsidRPr="001E75E1" w:rsidRDefault="00AF580D" w:rsidP="00AF580D">
      <w:pPr>
        <w:tabs>
          <w:tab w:val="left" w:pos="360"/>
        </w:tabs>
        <w:ind w:left="709"/>
        <w:jc w:val="center"/>
        <w:rPr>
          <w:rFonts w:eastAsia="Times New Roman"/>
          <w:b/>
          <w:sz w:val="24"/>
          <w:szCs w:val="24"/>
          <w:lang w:eastAsia="sk-SK"/>
        </w:rPr>
      </w:pPr>
      <w:r w:rsidRPr="001E75E1">
        <w:rPr>
          <w:rFonts w:eastAsia="Times New Roman"/>
          <w:b/>
          <w:sz w:val="24"/>
          <w:szCs w:val="24"/>
          <w:lang w:eastAsia="sk-SK"/>
        </w:rPr>
        <w:t>Sankcie</w:t>
      </w:r>
    </w:p>
    <w:p w14:paraId="1E418490" w14:textId="77777777" w:rsidR="00AF580D" w:rsidRPr="001E75E1" w:rsidRDefault="00AF580D" w:rsidP="00AF580D">
      <w:pPr>
        <w:numPr>
          <w:ilvl w:val="4"/>
          <w:numId w:val="1"/>
        </w:numPr>
        <w:tabs>
          <w:tab w:val="left" w:pos="360"/>
        </w:tabs>
        <w:spacing w:after="240"/>
        <w:ind w:left="709" w:firstLine="0"/>
        <w:rPr>
          <w:sz w:val="24"/>
          <w:szCs w:val="24"/>
        </w:rPr>
      </w:pPr>
      <w:r w:rsidRPr="001E75E1">
        <w:rPr>
          <w:sz w:val="24"/>
          <w:szCs w:val="24"/>
        </w:rPr>
        <w:t>Ak je Odberateľ v omeškaní s úhradou ktorejkoľvek platby podľa zmluvy, vzniká dodávateľovi právo požadovať od odberateľa popri plnení úrok z omeškania vo výške 0,02</w:t>
      </w:r>
      <w:r>
        <w:rPr>
          <w:sz w:val="24"/>
          <w:szCs w:val="24"/>
        </w:rPr>
        <w:t>19</w:t>
      </w:r>
      <w:r w:rsidRPr="001E75E1">
        <w:rPr>
          <w:sz w:val="24"/>
          <w:szCs w:val="24"/>
        </w:rPr>
        <w:t xml:space="preserve"> % z dlžnej sumy za každý aj začatý deň omeškania s úhradou dlžnej sumy až do jej zaplatenia.</w:t>
      </w:r>
    </w:p>
    <w:p w14:paraId="52875869" w14:textId="77777777" w:rsidR="00AF580D" w:rsidRPr="008F3106" w:rsidRDefault="00AF580D" w:rsidP="00AF580D">
      <w:pPr>
        <w:numPr>
          <w:ilvl w:val="4"/>
          <w:numId w:val="1"/>
        </w:numPr>
        <w:tabs>
          <w:tab w:val="left" w:pos="360"/>
        </w:tabs>
        <w:spacing w:after="240"/>
        <w:ind w:left="709" w:firstLine="0"/>
        <w:rPr>
          <w:sz w:val="24"/>
          <w:szCs w:val="24"/>
        </w:rPr>
      </w:pPr>
      <w:r w:rsidRPr="001E75E1">
        <w:rPr>
          <w:sz w:val="24"/>
          <w:szCs w:val="24"/>
        </w:rPr>
        <w:t xml:space="preserve">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w:t>
      </w:r>
      <w:r>
        <w:rPr>
          <w:sz w:val="24"/>
          <w:szCs w:val="24"/>
        </w:rPr>
        <w:t>zemného plynu</w:t>
      </w:r>
      <w:r w:rsidRPr="001E75E1">
        <w:rPr>
          <w:sz w:val="24"/>
          <w:szCs w:val="24"/>
        </w:rPr>
        <w:t xml:space="preserve"> spôsobeného nepredvídateľnými poruchami </w:t>
      </w:r>
      <w:r w:rsidRPr="008F3106">
        <w:rPr>
          <w:sz w:val="24"/>
          <w:szCs w:val="24"/>
        </w:rPr>
        <w:t>v distribučnej sústave a keď škody boli spôsobené nedodaním zemného plynu podľa zákona č. 251/2012 Z. z. o energetike v znení neskorších právnych predpisov.</w:t>
      </w:r>
    </w:p>
    <w:p w14:paraId="2D5794A7" w14:textId="77777777" w:rsidR="00AF580D" w:rsidRPr="008F3106" w:rsidRDefault="00AF580D" w:rsidP="00AF580D">
      <w:pPr>
        <w:numPr>
          <w:ilvl w:val="4"/>
          <w:numId w:val="1"/>
        </w:numPr>
        <w:tabs>
          <w:tab w:val="left" w:pos="360"/>
        </w:tabs>
        <w:spacing w:after="240"/>
        <w:ind w:left="709" w:firstLine="0"/>
        <w:rPr>
          <w:sz w:val="24"/>
          <w:szCs w:val="24"/>
        </w:rPr>
      </w:pPr>
      <w:r w:rsidRPr="008F3106">
        <w:rPr>
          <w:sz w:val="24"/>
          <w:szCs w:val="24"/>
        </w:rPr>
        <w:t>Odberateľ nepreberá zodpovednosť za prípadné straty vzniknuté u dodávateľa z dôsledku nezrealizovania dodávky zemného plynu.</w:t>
      </w:r>
    </w:p>
    <w:p w14:paraId="13EEA2B6" w14:textId="77777777" w:rsidR="00AF580D" w:rsidRPr="001E75E1" w:rsidRDefault="00AF580D" w:rsidP="00AF580D">
      <w:pPr>
        <w:widowControl w:val="0"/>
        <w:tabs>
          <w:tab w:val="left" w:pos="988"/>
          <w:tab w:val="left" w:pos="1560"/>
        </w:tabs>
        <w:spacing w:after="0"/>
        <w:ind w:left="851" w:right="113"/>
        <w:jc w:val="center"/>
        <w:rPr>
          <w:rFonts w:eastAsia="Times New Roman"/>
          <w:b/>
          <w:sz w:val="24"/>
          <w:szCs w:val="24"/>
          <w:lang w:eastAsia="sk-SK"/>
        </w:rPr>
      </w:pPr>
      <w:r w:rsidRPr="001E75E1">
        <w:rPr>
          <w:rFonts w:eastAsia="Times New Roman"/>
          <w:b/>
          <w:sz w:val="24"/>
          <w:szCs w:val="24"/>
          <w:lang w:eastAsia="sk-SK"/>
        </w:rPr>
        <w:t>Čl. VII.</w:t>
      </w:r>
    </w:p>
    <w:p w14:paraId="44E4E401"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Spôsob uzatvárania a ukončenia účinnosti jednotlivých zmlúv</w:t>
      </w:r>
    </w:p>
    <w:p w14:paraId="1C0BC392"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 xml:space="preserve">1. </w:t>
      </w:r>
      <w:r w:rsidRPr="001E75E1">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0A5A7D47" w14:textId="77777777" w:rsidR="00AF580D" w:rsidRPr="001E75E1" w:rsidRDefault="00AF580D" w:rsidP="00AF580D">
      <w:pPr>
        <w:widowControl w:val="0"/>
        <w:numPr>
          <w:ilvl w:val="0"/>
          <w:numId w:val="3"/>
        </w:numPr>
        <w:tabs>
          <w:tab w:val="clear" w:pos="3527"/>
          <w:tab w:val="num" w:pos="709"/>
          <w:tab w:val="left" w:pos="988"/>
          <w:tab w:val="left" w:pos="1418"/>
        </w:tabs>
        <w:spacing w:after="240"/>
        <w:ind w:left="709" w:right="113" w:firstLine="0"/>
        <w:rPr>
          <w:sz w:val="24"/>
          <w:szCs w:val="24"/>
        </w:rPr>
      </w:pPr>
      <w:r w:rsidRPr="001E75E1">
        <w:rPr>
          <w:sz w:val="24"/>
          <w:szCs w:val="24"/>
        </w:rPr>
        <w:t>Účastníci sa dohodli, že v prípade zmeny objektívnych okolností (napr. 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4C84B9F9" w14:textId="77777777" w:rsidR="00AF580D" w:rsidRPr="0013635A" w:rsidRDefault="00AF580D" w:rsidP="00AF580D">
      <w:pPr>
        <w:widowControl w:val="0"/>
        <w:tabs>
          <w:tab w:val="left" w:pos="1418"/>
        </w:tabs>
        <w:spacing w:after="0"/>
        <w:ind w:left="709" w:right="113"/>
        <w:rPr>
          <w:bCs/>
          <w:sz w:val="24"/>
          <w:szCs w:val="24"/>
        </w:rPr>
      </w:pPr>
      <w:r w:rsidRPr="001E75E1">
        <w:rPr>
          <w:sz w:val="24"/>
          <w:szCs w:val="24"/>
        </w:rPr>
        <w:t xml:space="preserve">3. </w:t>
      </w:r>
      <w:r w:rsidRPr="001E75E1">
        <w:rPr>
          <w:sz w:val="24"/>
          <w:szCs w:val="24"/>
        </w:rPr>
        <w:tab/>
      </w:r>
      <w:r>
        <w:rPr>
          <w:b/>
          <w:sz w:val="24"/>
          <w:szCs w:val="24"/>
        </w:rPr>
        <w:t>Združené zmluvy jednotlivých verejných obstarávateľov</w:t>
      </w:r>
      <w:r w:rsidRPr="001E75E1">
        <w:rPr>
          <w:b/>
          <w:sz w:val="24"/>
          <w:szCs w:val="24"/>
        </w:rPr>
        <w:t xml:space="preserve"> </w:t>
      </w:r>
      <w:r w:rsidRPr="001E75E1">
        <w:rPr>
          <w:sz w:val="24"/>
          <w:szCs w:val="24"/>
        </w:rPr>
        <w:t xml:space="preserve">uzatvorené podľa a na základe tejto rámcovej dohody </w:t>
      </w:r>
      <w:r w:rsidRPr="001E75E1">
        <w:rPr>
          <w:b/>
          <w:sz w:val="24"/>
          <w:szCs w:val="24"/>
        </w:rPr>
        <w:t xml:space="preserve">sa nebudú automaticky predlžovať. </w:t>
      </w:r>
      <w:r>
        <w:rPr>
          <w:bCs/>
          <w:sz w:val="24"/>
          <w:szCs w:val="24"/>
        </w:rPr>
        <w:t>Tento bod je nadradený Všeobecným obchodným podmienkam dodávateľa a v prípade rozporu platia podmienky tohto bodu.</w:t>
      </w:r>
    </w:p>
    <w:p w14:paraId="1ADF739B" w14:textId="77777777" w:rsidR="00AF580D" w:rsidRPr="001E75E1" w:rsidRDefault="00AF580D" w:rsidP="00AF580D">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VIII.</w:t>
      </w:r>
    </w:p>
    <w:p w14:paraId="0962B53D"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Záverečné ustanovenia</w:t>
      </w:r>
    </w:p>
    <w:p w14:paraId="2ACF93EB" w14:textId="77777777" w:rsidR="00AF580D" w:rsidRPr="001E75E1" w:rsidRDefault="00AF580D" w:rsidP="00AF580D">
      <w:pPr>
        <w:widowControl w:val="0"/>
        <w:tabs>
          <w:tab w:val="left" w:pos="988"/>
          <w:tab w:val="left" w:pos="1418"/>
        </w:tabs>
        <w:spacing w:after="240"/>
        <w:ind w:left="709" w:right="113"/>
        <w:rPr>
          <w:sz w:val="24"/>
          <w:szCs w:val="24"/>
        </w:rPr>
      </w:pPr>
      <w:r w:rsidRPr="001E75E1">
        <w:rPr>
          <w:sz w:val="24"/>
          <w:szCs w:val="24"/>
        </w:rPr>
        <w:t>1.</w:t>
      </w:r>
      <w:r w:rsidRPr="001E75E1">
        <w:rPr>
          <w:sz w:val="24"/>
          <w:szCs w:val="24"/>
        </w:rPr>
        <w:tab/>
      </w:r>
      <w:r>
        <w:rPr>
          <w:sz w:val="24"/>
          <w:szCs w:val="24"/>
        </w:rPr>
        <w:tab/>
      </w:r>
      <w:r w:rsidRPr="001E75E1">
        <w:rPr>
          <w:sz w:val="24"/>
          <w:szCs w:val="24"/>
        </w:rPr>
        <w:t xml:space="preserve">Táto rámcová dohoda nadobúda platnosť dňom jej podpísania oboma zmluvnými </w:t>
      </w:r>
      <w:r w:rsidRPr="001E75E1">
        <w:rPr>
          <w:sz w:val="24"/>
          <w:szCs w:val="24"/>
        </w:rPr>
        <w:lastRenderedPageBreak/>
        <w:t>stranami a účinnosť nadobúda dňom nasledujúcim po dni jej zverejnenia podľa ustanovení zákona č. 211/2000 Z. z o slobodnom prístupe k informáciám a o zmene a doplnení niektorých zákonov v znení neskorších predpisov.</w:t>
      </w:r>
    </w:p>
    <w:p w14:paraId="786A5F0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2.</w:t>
      </w:r>
      <w:r w:rsidRPr="001E75E1">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zemného plynu realizovanú na základe jednotlivých individuálnych zmlúv uzatvorených na základe a podľa tejto rámcovej dohody.</w:t>
      </w:r>
    </w:p>
    <w:p w14:paraId="23CCACBF" w14:textId="77777777" w:rsidR="00AF580D" w:rsidRPr="001E75E1" w:rsidRDefault="00AF580D" w:rsidP="00AF580D">
      <w:pPr>
        <w:widowControl w:val="0"/>
        <w:tabs>
          <w:tab w:val="left" w:pos="988"/>
          <w:tab w:val="left" w:pos="1418"/>
        </w:tabs>
        <w:spacing w:after="0"/>
        <w:ind w:left="709" w:right="113"/>
        <w:rPr>
          <w:sz w:val="24"/>
          <w:szCs w:val="24"/>
        </w:rPr>
      </w:pPr>
      <w:r w:rsidRPr="001E75E1">
        <w:rPr>
          <w:sz w:val="24"/>
          <w:szCs w:val="24"/>
        </w:rPr>
        <w:t xml:space="preserve">3. </w:t>
      </w:r>
      <w:r w:rsidRPr="001E75E1">
        <w:rPr>
          <w:sz w:val="24"/>
          <w:szCs w:val="24"/>
        </w:rPr>
        <w:tab/>
      </w:r>
      <w:r>
        <w:rPr>
          <w:sz w:val="24"/>
          <w:szCs w:val="24"/>
        </w:rPr>
        <w:tab/>
      </w:r>
      <w:r w:rsidRPr="001E75E1">
        <w:rPr>
          <w:sz w:val="24"/>
          <w:szCs w:val="24"/>
        </w:rPr>
        <w:t>Účinnosť tejto rámcovej dohody skončí:</w:t>
      </w:r>
      <w:r w:rsidRPr="001E75E1">
        <w:rPr>
          <w:sz w:val="24"/>
          <w:szCs w:val="24"/>
        </w:rPr>
        <w:tab/>
      </w:r>
    </w:p>
    <w:p w14:paraId="7E0BD228" w14:textId="77777777" w:rsidR="00AF580D" w:rsidRPr="001E75E1" w:rsidRDefault="00AF580D" w:rsidP="00AF580D">
      <w:pPr>
        <w:spacing w:after="0"/>
        <w:ind w:left="709"/>
        <w:rPr>
          <w:rFonts w:eastAsia="Times New Roman"/>
          <w:sz w:val="24"/>
          <w:szCs w:val="24"/>
          <w:lang w:eastAsia="sk-SK"/>
        </w:rPr>
      </w:pPr>
      <w:r w:rsidRPr="001E75E1">
        <w:rPr>
          <w:rFonts w:eastAsia="Times New Roman"/>
          <w:sz w:val="24"/>
          <w:szCs w:val="24"/>
          <w:lang w:eastAsia="sk-SK"/>
        </w:rPr>
        <w:t>a) uplynutím doby, na ktorú bola uzatvorená, alebo</w:t>
      </w:r>
    </w:p>
    <w:p w14:paraId="268A4045" w14:textId="77777777" w:rsidR="00AF580D" w:rsidRPr="001E75E1" w:rsidRDefault="00AF580D" w:rsidP="00AF580D">
      <w:pPr>
        <w:spacing w:after="0"/>
        <w:ind w:left="709"/>
        <w:rPr>
          <w:rFonts w:eastAsia="Times New Roman"/>
          <w:sz w:val="24"/>
          <w:szCs w:val="24"/>
          <w:lang w:eastAsia="sk-SK"/>
        </w:rPr>
      </w:pPr>
      <w:r w:rsidRPr="001E75E1">
        <w:rPr>
          <w:rFonts w:eastAsia="Times New Roman"/>
          <w:sz w:val="24"/>
          <w:szCs w:val="24"/>
          <w:lang w:eastAsia="sk-SK"/>
        </w:rPr>
        <w:t>b) na základe písomnej dohody zmluvných strán, alebo</w:t>
      </w:r>
    </w:p>
    <w:p w14:paraId="20D054BC" w14:textId="77777777" w:rsidR="00AF580D" w:rsidRPr="001E75E1" w:rsidRDefault="00AF580D" w:rsidP="00AF580D">
      <w:pPr>
        <w:ind w:left="709"/>
        <w:rPr>
          <w:rFonts w:eastAsia="Times New Roman"/>
          <w:sz w:val="24"/>
          <w:szCs w:val="24"/>
          <w:lang w:eastAsia="sk-SK"/>
        </w:rPr>
      </w:pPr>
      <w:r w:rsidRPr="001E75E1">
        <w:rPr>
          <w:rFonts w:eastAsia="Times New Roman"/>
          <w:sz w:val="24"/>
          <w:szCs w:val="24"/>
          <w:lang w:eastAsia="sk-SK"/>
        </w:rPr>
        <w:t xml:space="preserve">c) odstúpením od dohody v prípade závažného porušenia povinností a záväzkov vyplývajúcich z tejto dohody. </w:t>
      </w:r>
    </w:p>
    <w:p w14:paraId="734F7694" w14:textId="77777777" w:rsidR="00AF580D" w:rsidRPr="001E75E1" w:rsidRDefault="00AF580D" w:rsidP="00AF580D">
      <w:pPr>
        <w:widowControl w:val="0"/>
        <w:tabs>
          <w:tab w:val="left" w:pos="988"/>
        </w:tabs>
        <w:spacing w:after="240"/>
        <w:ind w:left="709" w:right="113"/>
        <w:rPr>
          <w:sz w:val="24"/>
          <w:szCs w:val="24"/>
        </w:rPr>
      </w:pPr>
      <w:r w:rsidRPr="001E75E1">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4A84F424"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4.</w:t>
      </w:r>
      <w:r w:rsidRPr="001E75E1">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6996E3F7" w14:textId="77777777" w:rsidR="00AF580D" w:rsidRPr="001E75E1" w:rsidRDefault="00AF580D" w:rsidP="00AF580D">
      <w:pPr>
        <w:widowControl w:val="0"/>
        <w:tabs>
          <w:tab w:val="left" w:pos="988"/>
          <w:tab w:val="left" w:pos="1418"/>
        </w:tabs>
        <w:spacing w:after="240"/>
        <w:ind w:left="709" w:right="113"/>
        <w:rPr>
          <w:sz w:val="24"/>
          <w:szCs w:val="24"/>
        </w:rPr>
      </w:pPr>
      <w:r w:rsidRPr="001E75E1">
        <w:rPr>
          <w:sz w:val="24"/>
          <w:szCs w:val="24"/>
        </w:rPr>
        <w:t>5.</w:t>
      </w:r>
      <w:r w:rsidRPr="001E75E1">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5CB4613B" w14:textId="77777777" w:rsidR="00AF580D" w:rsidRPr="001E75E1" w:rsidRDefault="00AF580D" w:rsidP="00AF580D">
      <w:pPr>
        <w:widowControl w:val="0"/>
        <w:numPr>
          <w:ilvl w:val="0"/>
          <w:numId w:val="7"/>
        </w:numPr>
        <w:tabs>
          <w:tab w:val="left" w:pos="1418"/>
        </w:tabs>
        <w:spacing w:after="240"/>
        <w:ind w:left="709" w:right="113"/>
        <w:rPr>
          <w:sz w:val="24"/>
          <w:szCs w:val="24"/>
        </w:rPr>
      </w:pPr>
      <w:r w:rsidRPr="001E75E1">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0F0300DC"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 xml:space="preserve">7. </w:t>
      </w:r>
      <w:r w:rsidRPr="001E75E1">
        <w:rPr>
          <w:sz w:val="24"/>
          <w:szCs w:val="24"/>
        </w:rPr>
        <w:tab/>
        <w:t xml:space="preserve">Každý z účastníkov dohody je zodpovedný za škodu, ktorá vznikne porušením jeho povinností voči druhému účastníkovi dohody. Ak dodávateľ z vlastnej viny nedodá odberateľovi </w:t>
      </w:r>
      <w:r>
        <w:rPr>
          <w:sz w:val="24"/>
          <w:szCs w:val="24"/>
        </w:rPr>
        <w:t>zemného plynu</w:t>
      </w:r>
      <w:r w:rsidRPr="001E75E1">
        <w:rPr>
          <w:sz w:val="24"/>
          <w:szCs w:val="24"/>
        </w:rPr>
        <w:t xml:space="preserve"> do príslušného OM alebo poruší svoje povinnosti vzťahujúce sa k príslušnému OM iným spôsobom, odberateľ má po preukázaní rozsahu škody právo na náhradu vzniknutej škody, ak bola preukázateľne spôsobená dodávateľom </w:t>
      </w:r>
      <w:r>
        <w:rPr>
          <w:sz w:val="24"/>
          <w:szCs w:val="24"/>
        </w:rPr>
        <w:t>zemného plynu</w:t>
      </w:r>
      <w:r w:rsidRPr="001E75E1">
        <w:rPr>
          <w:sz w:val="24"/>
          <w:szCs w:val="24"/>
        </w:rPr>
        <w:t xml:space="preserve"> a vznikla v súvislosti s týmto nedodaním alebo v súvislosti s iným takýmto porušením povinnosti dodávateľ. Právo na náhradu škody nevzniká za množstvo nedodané pri oprávnenom obmedzení alebo prerušení dodávok </w:t>
      </w:r>
      <w:r>
        <w:rPr>
          <w:sz w:val="24"/>
          <w:szCs w:val="24"/>
        </w:rPr>
        <w:t>zemného plynu</w:t>
      </w:r>
      <w:r w:rsidRPr="001E75E1">
        <w:rPr>
          <w:sz w:val="24"/>
          <w:szCs w:val="24"/>
        </w:rPr>
        <w:t xml:space="preserve"> zo strany dodávateľa (napr. vyhlásenie obmedzujúcich odberových stupňov a havarijného odberového stupňa, obmedzenie alebo prerušenie dodávok z dôvodu </w:t>
      </w:r>
      <w:r w:rsidRPr="001E75E1">
        <w:rPr>
          <w:sz w:val="24"/>
          <w:szCs w:val="24"/>
        </w:rPr>
        <w:lastRenderedPageBreak/>
        <w:t xml:space="preserve">porušenia zmluvy odberateľom, údržby a iné). Odberateľ je zodpovedný za akékoľvek poruchy, straty na časti odberného elektrického meradla odberateľa, ktorým prechádza </w:t>
      </w:r>
      <w:r>
        <w:rPr>
          <w:sz w:val="24"/>
          <w:szCs w:val="24"/>
        </w:rPr>
        <w:t>zemný plyn.</w:t>
      </w:r>
    </w:p>
    <w:p w14:paraId="0144A50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8.</w:t>
      </w:r>
      <w:r w:rsidRPr="001E75E1">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14:paraId="417BE4B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9.</w:t>
      </w:r>
      <w:r w:rsidRPr="001E75E1">
        <w:rPr>
          <w:sz w:val="24"/>
          <w:szCs w:val="24"/>
        </w:rPr>
        <w:tab/>
        <w:t xml:space="preserve">Táto rámcová dohoda môže byť menená a doplnená iba postupne číslovanými písomnými dodatkami podpísanými na to oprávnenými zástupcami oboch účastníkov tejto rámcovej dohody. </w:t>
      </w:r>
    </w:p>
    <w:p w14:paraId="49024541" w14:textId="77777777" w:rsidR="00AF580D" w:rsidRPr="001E75E1" w:rsidRDefault="00AF580D" w:rsidP="00AF580D">
      <w:pPr>
        <w:widowControl w:val="0"/>
        <w:tabs>
          <w:tab w:val="left" w:pos="1418"/>
          <w:tab w:val="left" w:pos="1560"/>
        </w:tabs>
        <w:spacing w:before="240" w:after="0"/>
        <w:ind w:left="709" w:right="113"/>
        <w:rPr>
          <w:sz w:val="24"/>
          <w:szCs w:val="24"/>
        </w:rPr>
      </w:pPr>
      <w:r w:rsidRPr="001E75E1">
        <w:rPr>
          <w:sz w:val="24"/>
          <w:szCs w:val="24"/>
        </w:rPr>
        <w:t xml:space="preserve">10. </w:t>
      </w:r>
      <w:r w:rsidRPr="001E75E1">
        <w:rPr>
          <w:sz w:val="24"/>
          <w:szCs w:val="24"/>
        </w:rPr>
        <w:tab/>
        <w:t>Neoddeliteľnou súčasťou tejto rámcovej dohody sú nasledovné prílohy:</w:t>
      </w:r>
    </w:p>
    <w:p w14:paraId="7727AED1" w14:textId="77777777" w:rsidR="00AF580D" w:rsidRPr="001E75E1" w:rsidRDefault="00AF580D" w:rsidP="00AF580D">
      <w:pPr>
        <w:spacing w:after="0" w:line="240" w:lineRule="auto"/>
        <w:ind w:left="709"/>
        <w:rPr>
          <w:rFonts w:eastAsia="Times New Roman"/>
          <w:sz w:val="24"/>
          <w:szCs w:val="24"/>
          <w:lang w:eastAsia="sk-SK"/>
        </w:rPr>
      </w:pPr>
      <w:r w:rsidRPr="001E75E1">
        <w:rPr>
          <w:rFonts w:eastAsia="Times New Roman"/>
          <w:sz w:val="24"/>
          <w:szCs w:val="24"/>
          <w:lang w:eastAsia="sk-SK"/>
        </w:rPr>
        <w:t xml:space="preserve">a) Príloha č. 1.: Zoznam odberných miest a spotrieb </w:t>
      </w:r>
    </w:p>
    <w:p w14:paraId="486A90D2" w14:textId="77777777" w:rsidR="00AF580D" w:rsidRPr="001E75E1" w:rsidRDefault="00AF580D" w:rsidP="00AF580D">
      <w:pPr>
        <w:spacing w:after="0" w:line="240" w:lineRule="auto"/>
        <w:ind w:left="709"/>
        <w:rPr>
          <w:rFonts w:eastAsia="Times New Roman"/>
          <w:sz w:val="24"/>
          <w:szCs w:val="24"/>
          <w:lang w:eastAsia="sk-SK"/>
        </w:rPr>
      </w:pPr>
      <w:r w:rsidRPr="001E75E1">
        <w:rPr>
          <w:rFonts w:eastAsia="Times New Roman"/>
          <w:sz w:val="24"/>
          <w:szCs w:val="24"/>
          <w:lang w:eastAsia="sk-SK"/>
        </w:rPr>
        <w:t xml:space="preserve">b) Príloha č. 2.: Vzor zmluvy/zmlúv o dodávke </w:t>
      </w:r>
      <w:r>
        <w:rPr>
          <w:rFonts w:eastAsia="Times New Roman"/>
          <w:sz w:val="24"/>
          <w:szCs w:val="24"/>
          <w:lang w:eastAsia="sk-SK"/>
        </w:rPr>
        <w:t>zemného plynu</w:t>
      </w:r>
      <w:r w:rsidRPr="001E75E1">
        <w:rPr>
          <w:rFonts w:eastAsia="Times New Roman"/>
          <w:sz w:val="24"/>
          <w:szCs w:val="24"/>
          <w:lang w:eastAsia="sk-SK"/>
        </w:rPr>
        <w:t xml:space="preserve"> vrátane jej/ich príloh.</w:t>
      </w:r>
    </w:p>
    <w:p w14:paraId="3B429CBC" w14:textId="77777777" w:rsidR="00AF580D" w:rsidRPr="001E75E1" w:rsidRDefault="00AF580D" w:rsidP="00AF580D">
      <w:pPr>
        <w:spacing w:line="240" w:lineRule="auto"/>
        <w:ind w:left="709"/>
        <w:rPr>
          <w:rFonts w:eastAsia="Times New Roman"/>
          <w:sz w:val="24"/>
          <w:szCs w:val="24"/>
          <w:lang w:eastAsia="sk-SK"/>
        </w:rPr>
      </w:pPr>
      <w:r w:rsidRPr="001E75E1">
        <w:rPr>
          <w:rFonts w:eastAsia="Times New Roman"/>
          <w:sz w:val="24"/>
          <w:szCs w:val="24"/>
          <w:lang w:eastAsia="sk-SK"/>
        </w:rPr>
        <w:t>c) Príloha č. 3.: Stanovenie burzového dňa</w:t>
      </w:r>
    </w:p>
    <w:p w14:paraId="0583A6FA" w14:textId="77777777" w:rsidR="00AF580D" w:rsidRDefault="00AF580D" w:rsidP="00AF580D">
      <w:pPr>
        <w:widowControl w:val="0"/>
        <w:tabs>
          <w:tab w:val="left" w:pos="1418"/>
        </w:tabs>
        <w:spacing w:after="240"/>
        <w:ind w:left="709" w:right="113"/>
        <w:rPr>
          <w:sz w:val="24"/>
          <w:szCs w:val="24"/>
        </w:rPr>
      </w:pPr>
      <w:r w:rsidRPr="001E75E1">
        <w:rPr>
          <w:sz w:val="24"/>
          <w:szCs w:val="24"/>
        </w:rPr>
        <w:t>11.</w:t>
      </w:r>
      <w:r w:rsidRPr="001E75E1">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26A96DA8" w14:textId="77777777" w:rsidR="00AF580D" w:rsidRDefault="00AF580D" w:rsidP="00AF580D">
      <w:pPr>
        <w:widowControl w:val="0"/>
        <w:tabs>
          <w:tab w:val="left" w:pos="1418"/>
        </w:tabs>
        <w:spacing w:after="0"/>
        <w:ind w:left="709" w:right="113"/>
        <w:rPr>
          <w:sz w:val="24"/>
          <w:szCs w:val="24"/>
        </w:rPr>
      </w:pPr>
      <w:r w:rsidRPr="001E75E1">
        <w:rPr>
          <w:sz w:val="24"/>
          <w:szCs w:val="24"/>
        </w:rPr>
        <w:t>12.</w:t>
      </w:r>
      <w:r w:rsidRPr="001E75E1">
        <w:rPr>
          <w:sz w:val="24"/>
          <w:szCs w:val="24"/>
        </w:rPr>
        <w:tab/>
        <w:t>Táto rámcová dohoda je vyhotovená v</w:t>
      </w:r>
      <w:r>
        <w:rPr>
          <w:sz w:val="24"/>
          <w:szCs w:val="24"/>
        </w:rPr>
        <w:t> štyroch rovnopisoch, z ktorých po podpísaní obdrží každá zmluvná strana dve vyhotovenia</w:t>
      </w:r>
      <w:r w:rsidRPr="001E75E1">
        <w:rPr>
          <w:sz w:val="24"/>
          <w:szCs w:val="24"/>
        </w:rPr>
        <w:t>.</w:t>
      </w:r>
      <w:r>
        <w:rPr>
          <w:sz w:val="24"/>
          <w:szCs w:val="24"/>
        </w:rPr>
        <w:t xml:space="preserve"> Jedno vyhotovenie bude uložené v archíve subjektu, ktorý vykonáva verejné obstarávanie.</w:t>
      </w:r>
    </w:p>
    <w:p w14:paraId="4CE09FA5" w14:textId="77777777" w:rsidR="00AF580D" w:rsidRDefault="00AF580D" w:rsidP="00AF580D">
      <w:pPr>
        <w:tabs>
          <w:tab w:val="left" w:pos="360"/>
        </w:tabs>
        <w:spacing w:after="0" w:line="240" w:lineRule="auto"/>
        <w:ind w:left="709"/>
        <w:jc w:val="left"/>
        <w:rPr>
          <w:rFonts w:eastAsia="Times New Roman"/>
          <w:sz w:val="24"/>
          <w:szCs w:val="24"/>
          <w:lang w:eastAsia="sk-SK"/>
        </w:rPr>
      </w:pPr>
    </w:p>
    <w:p w14:paraId="60596012" w14:textId="77777777" w:rsidR="00AF580D" w:rsidRDefault="00AF580D" w:rsidP="00AF580D">
      <w:pPr>
        <w:tabs>
          <w:tab w:val="left" w:pos="360"/>
        </w:tabs>
        <w:spacing w:after="0" w:line="240" w:lineRule="auto"/>
        <w:ind w:left="709"/>
        <w:jc w:val="left"/>
        <w:rPr>
          <w:rFonts w:eastAsia="Times New Roman"/>
          <w:sz w:val="24"/>
          <w:szCs w:val="24"/>
          <w:lang w:eastAsia="sk-SK"/>
        </w:rPr>
      </w:pPr>
    </w:p>
    <w:p w14:paraId="5FC7784A"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 dňa ....................</w:t>
      </w:r>
      <w:r w:rsidRPr="001E75E1">
        <w:rPr>
          <w:rFonts w:eastAsia="Times New Roman"/>
          <w:sz w:val="24"/>
          <w:szCs w:val="24"/>
          <w:lang w:eastAsia="sk-SK"/>
        </w:rPr>
        <w:tab/>
      </w:r>
      <w:r w:rsidRPr="001E75E1">
        <w:rPr>
          <w:rFonts w:eastAsia="Times New Roman"/>
          <w:sz w:val="24"/>
          <w:szCs w:val="24"/>
          <w:lang w:eastAsia="sk-SK"/>
        </w:rPr>
        <w:tab/>
        <w:t>V</w:t>
      </w:r>
      <w:r>
        <w:rPr>
          <w:rFonts w:eastAsia="Times New Roman"/>
          <w:sz w:val="24"/>
          <w:szCs w:val="24"/>
          <w:lang w:eastAsia="sk-SK"/>
        </w:rPr>
        <w:t> meste Bojnice</w:t>
      </w:r>
      <w:r w:rsidRPr="001E75E1">
        <w:rPr>
          <w:rFonts w:eastAsia="Times New Roman"/>
          <w:sz w:val="24"/>
          <w:szCs w:val="24"/>
          <w:lang w:eastAsia="sk-SK"/>
        </w:rPr>
        <w:t>, dňa ....................</w:t>
      </w:r>
    </w:p>
    <w:p w14:paraId="025EA25A"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p>
    <w:p w14:paraId="038706A7" w14:textId="7BF32B5E" w:rsidR="00AF580D" w:rsidRDefault="00AF580D" w:rsidP="00AF580D">
      <w:pPr>
        <w:tabs>
          <w:tab w:val="left" w:pos="360"/>
        </w:tabs>
        <w:spacing w:after="0" w:line="240" w:lineRule="auto"/>
        <w:ind w:left="709"/>
        <w:jc w:val="left"/>
        <w:rPr>
          <w:rFonts w:eastAsia="Times New Roman"/>
          <w:sz w:val="24"/>
          <w:szCs w:val="24"/>
          <w:lang w:eastAsia="sk-SK"/>
        </w:rPr>
      </w:pPr>
    </w:p>
    <w:p w14:paraId="3AD3AE29" w14:textId="65CD1BDB" w:rsidR="00E508B5" w:rsidRDefault="00E508B5" w:rsidP="00AF580D">
      <w:pPr>
        <w:tabs>
          <w:tab w:val="left" w:pos="360"/>
        </w:tabs>
        <w:spacing w:after="0" w:line="240" w:lineRule="auto"/>
        <w:ind w:left="709"/>
        <w:jc w:val="left"/>
        <w:rPr>
          <w:rFonts w:eastAsia="Times New Roman"/>
          <w:sz w:val="24"/>
          <w:szCs w:val="24"/>
          <w:lang w:eastAsia="sk-SK"/>
        </w:rPr>
      </w:pPr>
    </w:p>
    <w:p w14:paraId="08B28CE9" w14:textId="77777777" w:rsidR="00E508B5" w:rsidRPr="001E75E1" w:rsidRDefault="00E508B5" w:rsidP="00AF580D">
      <w:pPr>
        <w:tabs>
          <w:tab w:val="left" w:pos="360"/>
        </w:tabs>
        <w:spacing w:after="0" w:line="240" w:lineRule="auto"/>
        <w:ind w:left="709"/>
        <w:jc w:val="left"/>
        <w:rPr>
          <w:rFonts w:eastAsia="Times New Roman"/>
          <w:sz w:val="24"/>
          <w:szCs w:val="24"/>
          <w:lang w:eastAsia="sk-SK"/>
        </w:rPr>
      </w:pPr>
    </w:p>
    <w:p w14:paraId="6E16F1BC"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p>
    <w:p w14:paraId="0144AB8F"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mene dodávateľa:</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t xml:space="preserve">V mene </w:t>
      </w:r>
      <w:r>
        <w:rPr>
          <w:rFonts w:eastAsia="Times New Roman"/>
          <w:sz w:val="24"/>
          <w:szCs w:val="24"/>
          <w:lang w:eastAsia="sk-SK"/>
        </w:rPr>
        <w:t>centrálnej obstarávacej organizácie</w:t>
      </w:r>
      <w:r w:rsidRPr="001E75E1">
        <w:rPr>
          <w:rFonts w:eastAsia="Times New Roman"/>
          <w:sz w:val="24"/>
          <w:szCs w:val="24"/>
          <w:lang w:eastAsia="sk-SK"/>
        </w:rPr>
        <w:t>:</w:t>
      </w:r>
    </w:p>
    <w:p w14:paraId="2400E226" w14:textId="77777777" w:rsidR="00AF580D" w:rsidRDefault="00AF580D"/>
    <w:sectPr w:rsidR="00AF5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7D60"/>
    <w:multiLevelType w:val="hybridMultilevel"/>
    <w:tmpl w:val="54825B46"/>
    <w:lvl w:ilvl="0" w:tplc="318ADA4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387AFA"/>
    <w:multiLevelType w:val="hybridMultilevel"/>
    <w:tmpl w:val="58008B5C"/>
    <w:lvl w:ilvl="0" w:tplc="CF8CB278">
      <w:start w:val="5"/>
      <w:numFmt w:val="decimal"/>
      <w:lvlText w:val="%1."/>
      <w:lvlJc w:val="left"/>
      <w:pPr>
        <w:tabs>
          <w:tab w:val="num" w:pos="-1028"/>
        </w:tabs>
        <w:ind w:left="-1385"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333C0C"/>
    <w:multiLevelType w:val="multilevel"/>
    <w:tmpl w:val="8CC4D946"/>
    <w:lvl w:ilvl="0">
      <w:start w:val="1"/>
      <w:numFmt w:val="decimal"/>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3" w15:restartNumberingAfterBreak="0">
    <w:nsid w:val="34BB2012"/>
    <w:multiLevelType w:val="hybridMultilevel"/>
    <w:tmpl w:val="28164046"/>
    <w:lvl w:ilvl="0" w:tplc="3C8E9C72">
      <w:start w:val="2"/>
      <w:numFmt w:val="decimal"/>
      <w:lvlText w:val="%1."/>
      <w:lvlJc w:val="left"/>
      <w:pPr>
        <w:tabs>
          <w:tab w:val="num" w:pos="3527"/>
        </w:tabs>
        <w:ind w:left="35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DFD5C15"/>
    <w:multiLevelType w:val="hybridMultilevel"/>
    <w:tmpl w:val="AB6AA618"/>
    <w:lvl w:ilvl="0" w:tplc="1C0EB6A6">
      <w:start w:val="9"/>
      <w:numFmt w:val="decimal"/>
      <w:lvlText w:val="%1."/>
      <w:lvlJc w:val="left"/>
      <w:pPr>
        <w:ind w:left="-1025" w:hanging="360"/>
      </w:pPr>
      <w:rPr>
        <w:rFonts w:hint="default"/>
      </w:rPr>
    </w:lvl>
    <w:lvl w:ilvl="1" w:tplc="041B0019" w:tentative="1">
      <w:start w:val="1"/>
      <w:numFmt w:val="lowerLetter"/>
      <w:lvlText w:val="%2."/>
      <w:lvlJc w:val="left"/>
      <w:pPr>
        <w:ind w:left="-305" w:hanging="360"/>
      </w:pPr>
    </w:lvl>
    <w:lvl w:ilvl="2" w:tplc="041B001B" w:tentative="1">
      <w:start w:val="1"/>
      <w:numFmt w:val="lowerRoman"/>
      <w:lvlText w:val="%3."/>
      <w:lvlJc w:val="right"/>
      <w:pPr>
        <w:ind w:left="415" w:hanging="180"/>
      </w:pPr>
    </w:lvl>
    <w:lvl w:ilvl="3" w:tplc="041B000F" w:tentative="1">
      <w:start w:val="1"/>
      <w:numFmt w:val="decimal"/>
      <w:lvlText w:val="%4."/>
      <w:lvlJc w:val="left"/>
      <w:pPr>
        <w:ind w:left="1135" w:hanging="360"/>
      </w:pPr>
    </w:lvl>
    <w:lvl w:ilvl="4" w:tplc="041B0019" w:tentative="1">
      <w:start w:val="1"/>
      <w:numFmt w:val="lowerLetter"/>
      <w:lvlText w:val="%5."/>
      <w:lvlJc w:val="left"/>
      <w:pPr>
        <w:ind w:left="1855" w:hanging="360"/>
      </w:pPr>
    </w:lvl>
    <w:lvl w:ilvl="5" w:tplc="041B001B" w:tentative="1">
      <w:start w:val="1"/>
      <w:numFmt w:val="lowerRoman"/>
      <w:lvlText w:val="%6."/>
      <w:lvlJc w:val="right"/>
      <w:pPr>
        <w:ind w:left="2575" w:hanging="180"/>
      </w:pPr>
    </w:lvl>
    <w:lvl w:ilvl="6" w:tplc="041B000F" w:tentative="1">
      <w:start w:val="1"/>
      <w:numFmt w:val="decimal"/>
      <w:lvlText w:val="%7."/>
      <w:lvlJc w:val="left"/>
      <w:pPr>
        <w:ind w:left="3295" w:hanging="360"/>
      </w:pPr>
    </w:lvl>
    <w:lvl w:ilvl="7" w:tplc="041B0019" w:tentative="1">
      <w:start w:val="1"/>
      <w:numFmt w:val="lowerLetter"/>
      <w:lvlText w:val="%8."/>
      <w:lvlJc w:val="left"/>
      <w:pPr>
        <w:ind w:left="4015" w:hanging="360"/>
      </w:pPr>
    </w:lvl>
    <w:lvl w:ilvl="8" w:tplc="041B001B" w:tentative="1">
      <w:start w:val="1"/>
      <w:numFmt w:val="lowerRoman"/>
      <w:lvlText w:val="%9."/>
      <w:lvlJc w:val="right"/>
      <w:pPr>
        <w:ind w:left="4735" w:hanging="180"/>
      </w:pPr>
    </w:lvl>
  </w:abstractNum>
  <w:abstractNum w:abstractNumId="6" w15:restartNumberingAfterBreak="0">
    <w:nsid w:val="42184B5C"/>
    <w:multiLevelType w:val="hybridMultilevel"/>
    <w:tmpl w:val="A81CC4D6"/>
    <w:lvl w:ilvl="0" w:tplc="76680440">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105100"/>
    <w:multiLevelType w:val="hybridMultilevel"/>
    <w:tmpl w:val="5DD65DEA"/>
    <w:lvl w:ilvl="0" w:tplc="1960D73C">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2D04A96"/>
    <w:multiLevelType w:val="hybridMultilevel"/>
    <w:tmpl w:val="43163734"/>
    <w:lvl w:ilvl="0" w:tplc="20CED13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3"/>
  </w:num>
  <w:num w:numId="4">
    <w:abstractNumId w:val="2"/>
  </w:num>
  <w:num w:numId="5">
    <w:abstractNumId w:val="5"/>
  </w:num>
  <w:num w:numId="6">
    <w:abstractNumId w:val="1"/>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0D"/>
    <w:rsid w:val="005E6D64"/>
    <w:rsid w:val="009E2C51"/>
    <w:rsid w:val="00AF580D"/>
    <w:rsid w:val="00D05DEA"/>
    <w:rsid w:val="00E508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46B4"/>
  <w15:chartTrackingRefBased/>
  <w15:docId w15:val="{5221BFBF-961A-4D3A-9070-51EDED01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580D"/>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F580D"/>
    <w:rPr>
      <w:color w:val="0000FF"/>
      <w:u w:val="single"/>
    </w:rPr>
  </w:style>
  <w:style w:type="paragraph" w:styleId="Nzov">
    <w:name w:val="Title"/>
    <w:basedOn w:val="Normlny"/>
    <w:next w:val="Normlny"/>
    <w:link w:val="NzovChar"/>
    <w:autoRedefine/>
    <w:qFormat/>
    <w:rsid w:val="009E2C51"/>
    <w:pPr>
      <w:tabs>
        <w:tab w:val="left" w:pos="0"/>
        <w:tab w:val="left" w:pos="360"/>
      </w:tabs>
      <w:spacing w:before="240" w:after="240" w:line="240" w:lineRule="auto"/>
      <w:ind w:left="720"/>
      <w:jc w:val="center"/>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9E2C51"/>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AF580D"/>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59"/>
    <w:rsid w:val="00AF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wernext.com/futures-market-dat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3737</Words>
  <Characters>21307</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Silvia Pipíšková</cp:lastModifiedBy>
  <cp:revision>2</cp:revision>
  <dcterms:created xsi:type="dcterms:W3CDTF">2021-11-15T15:06:00Z</dcterms:created>
  <dcterms:modified xsi:type="dcterms:W3CDTF">2021-11-15T15:06:00Z</dcterms:modified>
</cp:coreProperties>
</file>