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FA" w14:textId="713EE386" w:rsidR="00177BBF" w:rsidRP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05F5D">
        <w:rPr>
          <w:rFonts w:ascii="Garamond" w:hAnsi="Garamond"/>
          <w:b/>
          <w:bCs/>
          <w:sz w:val="32"/>
          <w:szCs w:val="32"/>
          <w:u w:val="single"/>
        </w:rPr>
        <w:t>Informácia pre uchádzačov</w:t>
      </w:r>
    </w:p>
    <w:p w14:paraId="14AB6CF1" w14:textId="0F7F1B44" w:rsidR="00805F5D" w:rsidRDefault="00805F5D" w:rsidP="00805F5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A45BEA5" w14:textId="190AF37D" w:rsidR="00805F5D" w:rsidRPr="00805F5D" w:rsidRDefault="00805F5D" w:rsidP="000C2E76">
      <w:pPr>
        <w:jc w:val="both"/>
        <w:rPr>
          <w:rFonts w:ascii="Garamond" w:hAnsi="Garamond"/>
          <w:sz w:val="24"/>
          <w:szCs w:val="24"/>
        </w:rPr>
      </w:pPr>
      <w:r w:rsidRPr="00805F5D">
        <w:rPr>
          <w:rFonts w:ascii="Garamond" w:hAnsi="Garamond"/>
          <w:sz w:val="24"/>
          <w:szCs w:val="24"/>
        </w:rPr>
        <w:t>Obstarávateľská organizácia oznamuje uchádzačom, že pr</w:t>
      </w:r>
      <w:r>
        <w:rPr>
          <w:rFonts w:ascii="Garamond" w:hAnsi="Garamond"/>
          <w:sz w:val="24"/>
          <w:szCs w:val="24"/>
        </w:rPr>
        <w:t>i</w:t>
      </w:r>
      <w:r w:rsidRPr="00805F5D">
        <w:rPr>
          <w:rFonts w:ascii="Garamond" w:hAnsi="Garamond"/>
          <w:sz w:val="24"/>
          <w:szCs w:val="24"/>
        </w:rPr>
        <w:t>stúpila</w:t>
      </w:r>
      <w:r>
        <w:rPr>
          <w:rFonts w:ascii="Garamond" w:hAnsi="Garamond"/>
          <w:sz w:val="24"/>
          <w:szCs w:val="24"/>
        </w:rPr>
        <w:t xml:space="preserve"> k zmene  typu zmluvného vzťahu. Výsledkom </w:t>
      </w:r>
      <w:r w:rsidR="000C2E76" w:rsidRPr="000C2E76">
        <w:rPr>
          <w:rFonts w:ascii="Garamond" w:hAnsi="Garamond"/>
          <w:sz w:val="24"/>
          <w:szCs w:val="24"/>
        </w:rPr>
        <w:t>zadávania zákazky bude zmluva nad 100</w:t>
      </w:r>
      <w:r w:rsidR="000C2E76">
        <w:rPr>
          <w:rFonts w:ascii="Garamond" w:hAnsi="Garamond"/>
          <w:sz w:val="24"/>
          <w:szCs w:val="24"/>
        </w:rPr>
        <w:t> 000,00</w:t>
      </w:r>
      <w:r w:rsidR="000C2E76" w:rsidRPr="000C2E76">
        <w:rPr>
          <w:rFonts w:ascii="Garamond" w:hAnsi="Garamond"/>
          <w:sz w:val="24"/>
          <w:szCs w:val="24"/>
        </w:rPr>
        <w:t xml:space="preserve">  EUR bez DPH</w:t>
      </w:r>
      <w:r w:rsidR="000C2E76">
        <w:rPr>
          <w:rFonts w:ascii="Garamond" w:hAnsi="Garamond"/>
          <w:sz w:val="24"/>
          <w:szCs w:val="24"/>
        </w:rPr>
        <w:t xml:space="preserve">. Výsledkom zadávania zákazky bude </w:t>
      </w:r>
      <w:r w:rsidR="000C2E76" w:rsidRPr="000C2E76">
        <w:rPr>
          <w:rFonts w:ascii="Garamond" w:hAnsi="Garamond"/>
          <w:sz w:val="24"/>
          <w:szCs w:val="24"/>
        </w:rPr>
        <w:t>objednávka so všeobecnými obchodnými podmienkami do 100</w:t>
      </w:r>
      <w:r w:rsidR="000C2E76">
        <w:rPr>
          <w:rFonts w:ascii="Garamond" w:hAnsi="Garamond"/>
          <w:sz w:val="24"/>
          <w:szCs w:val="24"/>
        </w:rPr>
        <w:t> 000,00</w:t>
      </w:r>
      <w:r w:rsidR="000C2E76" w:rsidRPr="000C2E76">
        <w:rPr>
          <w:rFonts w:ascii="Garamond" w:hAnsi="Garamond"/>
          <w:sz w:val="24"/>
          <w:szCs w:val="24"/>
        </w:rPr>
        <w:t xml:space="preserve">  EUR bez DPH.</w:t>
      </w:r>
    </w:p>
    <w:sectPr w:rsidR="00805F5D" w:rsidRPr="0080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D"/>
    <w:rsid w:val="000B23B2"/>
    <w:rsid w:val="000C2E76"/>
    <w:rsid w:val="00177BBF"/>
    <w:rsid w:val="008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B051"/>
  <w15:chartTrackingRefBased/>
  <w15:docId w15:val="{A970CD03-EAB3-4D8A-BC4E-0065D59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3</cp:revision>
  <dcterms:created xsi:type="dcterms:W3CDTF">2022-06-22T07:06:00Z</dcterms:created>
  <dcterms:modified xsi:type="dcterms:W3CDTF">2022-06-22T07:10:00Z</dcterms:modified>
</cp:coreProperties>
</file>