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73D" w:rsidRDefault="006B473D" w:rsidP="006B473D">
      <w:pPr>
        <w:pStyle w:val="NADPIS"/>
        <w:widowControl/>
      </w:pPr>
      <w:r w:rsidRPr="00691EBB">
        <w:t xml:space="preserve">NÁVRH </w:t>
      </w:r>
    </w:p>
    <w:p w:rsidR="006B473D" w:rsidRDefault="006B473D" w:rsidP="006B473D">
      <w:pPr>
        <w:pStyle w:val="NADPIS"/>
        <w:widowControl/>
      </w:pPr>
      <w:r>
        <w:t>RÁMCOVÁ ZMLUVA</w:t>
      </w:r>
    </w:p>
    <w:p w:rsidR="006B473D" w:rsidRPr="00691EBB" w:rsidRDefault="006B473D" w:rsidP="006B473D">
      <w:pPr>
        <w:pStyle w:val="NADPIS"/>
        <w:widowControl/>
      </w:pPr>
      <w:r>
        <w:t xml:space="preserve">na likvidáciu nebezpečného a ostatného odpadu zo zdravotnej starostlivosti pre </w:t>
      </w:r>
    </w:p>
    <w:p w:rsidR="006B473D" w:rsidRDefault="006B473D" w:rsidP="006B473D">
      <w:pPr>
        <w:pStyle w:val="tl1"/>
        <w:numPr>
          <w:ilvl w:val="0"/>
          <w:numId w:val="0"/>
        </w:numPr>
        <w:ind w:left="992"/>
        <w:rPr>
          <w:rFonts w:ascii="Times New Roman" w:hAnsi="Times New Roman"/>
          <w:bCs/>
          <w:i/>
          <w:sz w:val="24"/>
        </w:rPr>
      </w:pPr>
      <w:r w:rsidRPr="006A20E2">
        <w:rPr>
          <w:rFonts w:ascii="Times New Roman" w:hAnsi="Times New Roman"/>
          <w:bCs/>
          <w:i/>
          <w:sz w:val="24"/>
        </w:rPr>
        <w:t>uzatvorená podľa ustanovenia §  </w:t>
      </w:r>
      <w:r>
        <w:rPr>
          <w:rFonts w:ascii="Times New Roman" w:hAnsi="Times New Roman"/>
          <w:bCs/>
          <w:i/>
          <w:sz w:val="24"/>
        </w:rPr>
        <w:t xml:space="preserve">269 ods. 2 </w:t>
      </w:r>
      <w:r w:rsidRPr="006A20E2">
        <w:rPr>
          <w:rFonts w:ascii="Times New Roman" w:hAnsi="Times New Roman"/>
          <w:bCs/>
          <w:i/>
          <w:sz w:val="24"/>
        </w:rPr>
        <w:t xml:space="preserve"> zákona č. 513/1991 Zb. Obchodného zákonníka v znení neskorších predpisov a v súlade  s ustanoveniami zákona</w:t>
      </w:r>
    </w:p>
    <w:p w:rsidR="006B473D" w:rsidRPr="006A20E2" w:rsidRDefault="006B473D" w:rsidP="006B473D">
      <w:pPr>
        <w:pStyle w:val="tl1"/>
        <w:numPr>
          <w:ilvl w:val="0"/>
          <w:numId w:val="0"/>
        </w:numPr>
        <w:ind w:left="992"/>
        <w:rPr>
          <w:rFonts w:ascii="Times New Roman" w:hAnsi="Times New Roman"/>
          <w:bCs/>
          <w:i/>
          <w:sz w:val="24"/>
        </w:rPr>
      </w:pPr>
      <w:r w:rsidRPr="006A20E2">
        <w:rPr>
          <w:rFonts w:ascii="Times New Roman" w:hAnsi="Times New Roman"/>
          <w:bCs/>
          <w:i/>
          <w:sz w:val="24"/>
        </w:rPr>
        <w:t>č. 343/2015 Z .z. o verejnom obstarávaní  a o zmene a doplnení niektorých zákonov</w:t>
      </w:r>
    </w:p>
    <w:p w:rsidR="006B473D" w:rsidRDefault="006B473D" w:rsidP="006B473D">
      <w:pPr>
        <w:pStyle w:val="NADPIS"/>
        <w:widowControl/>
      </w:pPr>
    </w:p>
    <w:p w:rsidR="006B473D" w:rsidRPr="000668EF" w:rsidRDefault="006B473D" w:rsidP="006B473D">
      <w:pPr>
        <w:jc w:val="center"/>
      </w:pPr>
      <w:r w:rsidRPr="000668EF">
        <w:t>Zmluvné strany</w:t>
      </w:r>
    </w:p>
    <w:p w:rsidR="006B473D" w:rsidRPr="000668EF" w:rsidRDefault="006B473D" w:rsidP="006B473D"/>
    <w:p w:rsidR="006B473D" w:rsidRPr="000668EF" w:rsidRDefault="006B473D" w:rsidP="006B473D">
      <w:pPr>
        <w:rPr>
          <w:b/>
          <w:bCs/>
        </w:rPr>
      </w:pPr>
      <w:r w:rsidRPr="00691EBB">
        <w:rPr>
          <w:b/>
          <w:bCs/>
          <w:color w:val="000000"/>
        </w:rPr>
        <w:t>Objednávateľ</w:t>
      </w:r>
      <w:r w:rsidRPr="00691EBB">
        <w:rPr>
          <w:color w:val="000000"/>
        </w:rPr>
        <w:t xml:space="preserve">:  </w:t>
      </w:r>
    </w:p>
    <w:p w:rsidR="006B473D" w:rsidRPr="000339BE" w:rsidRDefault="006B473D" w:rsidP="006B473D">
      <w:pPr>
        <w:rPr>
          <w:sz w:val="22"/>
          <w:szCs w:val="22"/>
        </w:rPr>
      </w:pPr>
      <w:r w:rsidRPr="000339BE">
        <w:rPr>
          <w:sz w:val="22"/>
          <w:szCs w:val="22"/>
        </w:rPr>
        <w:t>Názov</w:t>
      </w:r>
      <w:r w:rsidRPr="000339BE">
        <w:rPr>
          <w:sz w:val="22"/>
          <w:szCs w:val="22"/>
        </w:rPr>
        <w:tab/>
      </w:r>
      <w:r w:rsidRPr="000339BE">
        <w:rPr>
          <w:sz w:val="22"/>
          <w:szCs w:val="22"/>
        </w:rPr>
        <w:tab/>
      </w:r>
      <w:r>
        <w:rPr>
          <w:sz w:val="22"/>
          <w:szCs w:val="22"/>
        </w:rPr>
        <w:t xml:space="preserve">     </w:t>
      </w:r>
      <w:r w:rsidRPr="000339BE">
        <w:rPr>
          <w:sz w:val="22"/>
          <w:szCs w:val="22"/>
        </w:rPr>
        <w:t>Fakultná nemocnica s poliklinikou F. D. Roosevelta Banská Bystrica</w:t>
      </w:r>
    </w:p>
    <w:p w:rsidR="006B473D" w:rsidRPr="000339BE" w:rsidRDefault="006B473D" w:rsidP="006B473D">
      <w:pPr>
        <w:rPr>
          <w:sz w:val="22"/>
          <w:szCs w:val="22"/>
        </w:rPr>
      </w:pPr>
      <w:r w:rsidRPr="000339BE">
        <w:rPr>
          <w:sz w:val="22"/>
          <w:szCs w:val="22"/>
        </w:rPr>
        <w:t>Sídlo</w:t>
      </w:r>
      <w:r w:rsidRPr="000339BE">
        <w:rPr>
          <w:sz w:val="22"/>
          <w:szCs w:val="22"/>
        </w:rPr>
        <w:tab/>
      </w:r>
      <w:r w:rsidRPr="000339BE">
        <w:rPr>
          <w:sz w:val="22"/>
          <w:szCs w:val="22"/>
        </w:rPr>
        <w:tab/>
      </w:r>
      <w:r>
        <w:rPr>
          <w:sz w:val="22"/>
          <w:szCs w:val="22"/>
        </w:rPr>
        <w:t xml:space="preserve">     </w:t>
      </w:r>
      <w:r w:rsidRPr="000339BE">
        <w:rPr>
          <w:sz w:val="22"/>
          <w:szCs w:val="22"/>
        </w:rPr>
        <w:t>Námestie L. Svobodu č. 1, 975 17 Banská Bystrica</w:t>
      </w:r>
      <w:r w:rsidRPr="000339BE">
        <w:rPr>
          <w:sz w:val="22"/>
          <w:szCs w:val="22"/>
        </w:rPr>
        <w:tab/>
      </w:r>
    </w:p>
    <w:p w:rsidR="006B473D" w:rsidRDefault="006B473D" w:rsidP="006B473D">
      <w:pPr>
        <w:rPr>
          <w:sz w:val="22"/>
          <w:szCs w:val="22"/>
        </w:rPr>
      </w:pPr>
      <w:r>
        <w:rPr>
          <w:sz w:val="22"/>
          <w:szCs w:val="22"/>
        </w:rPr>
        <w:t xml:space="preserve"> Štatutárny orgán:  </w:t>
      </w:r>
      <w:r w:rsidRPr="000339BE">
        <w:rPr>
          <w:sz w:val="22"/>
          <w:szCs w:val="22"/>
        </w:rPr>
        <w:t xml:space="preserve">Ing. Miriam Lapuníková, MBA, </w:t>
      </w:r>
      <w:r>
        <w:rPr>
          <w:sz w:val="22"/>
          <w:szCs w:val="22"/>
        </w:rPr>
        <w:t xml:space="preserve">generálna </w:t>
      </w:r>
      <w:r w:rsidRPr="000339BE">
        <w:rPr>
          <w:sz w:val="22"/>
          <w:szCs w:val="22"/>
        </w:rPr>
        <w:t>riaditeľka</w:t>
      </w:r>
    </w:p>
    <w:p w:rsidR="006B473D" w:rsidRPr="000339BE" w:rsidRDefault="006B473D" w:rsidP="006B473D">
      <w:pPr>
        <w:rPr>
          <w:sz w:val="22"/>
          <w:szCs w:val="22"/>
        </w:rPr>
      </w:pPr>
      <w:r>
        <w:rPr>
          <w:sz w:val="22"/>
          <w:szCs w:val="22"/>
        </w:rPr>
        <w:t xml:space="preserve">                               Ing. Ivana Sklenková, ekonomická riaditeľka               </w:t>
      </w:r>
    </w:p>
    <w:p w:rsidR="006B473D" w:rsidRPr="000339BE" w:rsidRDefault="006B473D" w:rsidP="006B473D">
      <w:pPr>
        <w:rPr>
          <w:sz w:val="22"/>
          <w:szCs w:val="22"/>
        </w:rPr>
      </w:pPr>
      <w:r w:rsidRPr="000339BE">
        <w:rPr>
          <w:sz w:val="22"/>
          <w:szCs w:val="22"/>
        </w:rPr>
        <w:t>IČO</w:t>
      </w:r>
      <w:r w:rsidRPr="000339BE">
        <w:rPr>
          <w:sz w:val="22"/>
          <w:szCs w:val="22"/>
        </w:rPr>
        <w:tab/>
      </w:r>
      <w:r w:rsidRPr="000339BE">
        <w:rPr>
          <w:sz w:val="22"/>
          <w:szCs w:val="22"/>
        </w:rPr>
        <w:tab/>
      </w:r>
      <w:r>
        <w:rPr>
          <w:sz w:val="22"/>
          <w:szCs w:val="22"/>
        </w:rPr>
        <w:t xml:space="preserve">     </w:t>
      </w:r>
      <w:r w:rsidRPr="000339BE">
        <w:rPr>
          <w:sz w:val="22"/>
          <w:szCs w:val="22"/>
        </w:rPr>
        <w:t>00 165 549</w:t>
      </w:r>
    </w:p>
    <w:p w:rsidR="006B473D" w:rsidRPr="000339BE" w:rsidRDefault="006B473D" w:rsidP="006B473D">
      <w:pPr>
        <w:rPr>
          <w:rFonts w:eastAsia="Times New Roman"/>
          <w:sz w:val="22"/>
          <w:szCs w:val="22"/>
          <w:lang w:eastAsia="sk-SK"/>
        </w:rPr>
      </w:pPr>
      <w:r w:rsidRPr="000339BE">
        <w:rPr>
          <w:sz w:val="22"/>
          <w:szCs w:val="22"/>
        </w:rPr>
        <w:t>IČ DPH</w:t>
      </w:r>
      <w:r w:rsidRPr="000339BE">
        <w:rPr>
          <w:sz w:val="22"/>
          <w:szCs w:val="22"/>
        </w:rPr>
        <w:tab/>
      </w:r>
      <w:r>
        <w:rPr>
          <w:sz w:val="22"/>
          <w:szCs w:val="22"/>
        </w:rPr>
        <w:t xml:space="preserve">     </w:t>
      </w:r>
      <w:r w:rsidRPr="000339BE">
        <w:rPr>
          <w:rFonts w:eastAsia="Times New Roman"/>
          <w:sz w:val="22"/>
          <w:szCs w:val="22"/>
          <w:lang w:eastAsia="sk-SK"/>
        </w:rPr>
        <w:t>SK 2021 095 670</w:t>
      </w:r>
    </w:p>
    <w:p w:rsidR="006B473D" w:rsidRPr="000339BE" w:rsidRDefault="006B473D" w:rsidP="006B473D">
      <w:pPr>
        <w:rPr>
          <w:sz w:val="22"/>
          <w:szCs w:val="22"/>
        </w:rPr>
      </w:pPr>
      <w:r w:rsidRPr="000339BE">
        <w:rPr>
          <w:rFonts w:eastAsia="Times New Roman"/>
          <w:sz w:val="22"/>
          <w:szCs w:val="22"/>
          <w:lang w:eastAsia="sk-SK"/>
        </w:rPr>
        <w:t>Zriadená Zriaďovacou listinou MZ SR č. 1842/90-A/II-I z 18.12.1990 v znení neskorších zmien</w:t>
      </w:r>
    </w:p>
    <w:p w:rsidR="006B473D" w:rsidRPr="000339BE" w:rsidRDefault="006B473D" w:rsidP="006B473D">
      <w:pPr>
        <w:rPr>
          <w:color w:val="000000"/>
          <w:sz w:val="22"/>
          <w:szCs w:val="22"/>
        </w:rPr>
      </w:pPr>
      <w:r w:rsidRPr="000339BE">
        <w:rPr>
          <w:color w:val="000000"/>
          <w:sz w:val="22"/>
          <w:szCs w:val="22"/>
        </w:rPr>
        <w:t>IBAN</w:t>
      </w:r>
      <w:r w:rsidRPr="000339BE">
        <w:rPr>
          <w:color w:val="000000"/>
          <w:sz w:val="22"/>
          <w:szCs w:val="22"/>
        </w:rPr>
        <w:tab/>
        <w:t xml:space="preserve">: </w:t>
      </w:r>
      <w:r>
        <w:rPr>
          <w:color w:val="000000"/>
          <w:sz w:val="22"/>
          <w:szCs w:val="22"/>
        </w:rPr>
        <w:tab/>
        <w:t xml:space="preserve">     </w:t>
      </w:r>
      <w:r w:rsidRPr="000339BE">
        <w:rPr>
          <w:color w:val="000000"/>
          <w:sz w:val="22"/>
          <w:szCs w:val="22"/>
        </w:rPr>
        <w:t>SK35 8180 0000 0070 0027 8282</w:t>
      </w:r>
    </w:p>
    <w:p w:rsidR="006B473D" w:rsidRPr="000339BE" w:rsidRDefault="006B473D" w:rsidP="006B473D">
      <w:pPr>
        <w:rPr>
          <w:color w:val="000000"/>
          <w:sz w:val="22"/>
          <w:szCs w:val="22"/>
        </w:rPr>
      </w:pPr>
      <w:r w:rsidRPr="000339BE">
        <w:rPr>
          <w:color w:val="000000"/>
          <w:sz w:val="22"/>
          <w:szCs w:val="22"/>
        </w:rPr>
        <w:t>BIC/SWIFT</w:t>
      </w:r>
      <w:r>
        <w:rPr>
          <w:color w:val="000000"/>
          <w:sz w:val="22"/>
          <w:szCs w:val="22"/>
        </w:rPr>
        <w:t xml:space="preserve">:          </w:t>
      </w:r>
      <w:r w:rsidRPr="000339BE">
        <w:rPr>
          <w:color w:val="000000"/>
          <w:sz w:val="22"/>
          <w:szCs w:val="22"/>
        </w:rPr>
        <w:t>SPSRSKBA</w:t>
      </w:r>
    </w:p>
    <w:p w:rsidR="006B473D" w:rsidRPr="000339BE" w:rsidRDefault="006B473D" w:rsidP="006B473D">
      <w:pPr>
        <w:ind w:hanging="284"/>
        <w:rPr>
          <w:sz w:val="22"/>
          <w:szCs w:val="22"/>
        </w:rPr>
      </w:pPr>
      <w:r w:rsidRPr="000339BE">
        <w:rPr>
          <w:sz w:val="22"/>
          <w:szCs w:val="22"/>
        </w:rPr>
        <w:tab/>
      </w:r>
    </w:p>
    <w:p w:rsidR="006B473D" w:rsidRPr="000668EF" w:rsidRDefault="006B473D" w:rsidP="006B473D">
      <w:pPr>
        <w:spacing w:before="120"/>
        <w:rPr>
          <w:i/>
          <w:iCs/>
        </w:rPr>
      </w:pPr>
      <w:r w:rsidRPr="000668EF">
        <w:rPr>
          <w:i/>
          <w:iCs/>
        </w:rPr>
        <w:t>ďalej označený aj ako „</w:t>
      </w:r>
      <w:r>
        <w:rPr>
          <w:i/>
          <w:iCs/>
        </w:rPr>
        <w:t>objednávateľ</w:t>
      </w:r>
      <w:r w:rsidRPr="000668EF">
        <w:rPr>
          <w:i/>
          <w:iCs/>
        </w:rPr>
        <w:t xml:space="preserve">“ </w:t>
      </w:r>
    </w:p>
    <w:p w:rsidR="006B473D" w:rsidRDefault="006B473D" w:rsidP="006B473D">
      <w:pPr>
        <w:rPr>
          <w:b/>
          <w:bCs/>
        </w:rPr>
      </w:pPr>
    </w:p>
    <w:p w:rsidR="006B473D" w:rsidRPr="000668EF" w:rsidRDefault="006B473D" w:rsidP="006B473D">
      <w:pPr>
        <w:rPr>
          <w:b/>
          <w:bCs/>
        </w:rPr>
      </w:pPr>
      <w:r>
        <w:rPr>
          <w:b/>
          <w:bCs/>
        </w:rPr>
        <w:t>Poskytovateľ</w:t>
      </w:r>
      <w:r w:rsidRPr="000668EF">
        <w:rPr>
          <w:b/>
          <w:bCs/>
        </w:rPr>
        <w:t>:</w:t>
      </w:r>
    </w:p>
    <w:p w:rsidR="006B473D" w:rsidRPr="000339BE" w:rsidRDefault="006B473D" w:rsidP="006B473D">
      <w:pPr>
        <w:rPr>
          <w:sz w:val="22"/>
          <w:szCs w:val="22"/>
        </w:rPr>
      </w:pPr>
      <w:r>
        <w:rPr>
          <w:sz w:val="22"/>
          <w:szCs w:val="22"/>
        </w:rPr>
        <w:t>Názov</w:t>
      </w:r>
      <w:r>
        <w:rPr>
          <w:sz w:val="22"/>
          <w:szCs w:val="22"/>
        </w:rPr>
        <w:tab/>
      </w:r>
      <w:r w:rsidRPr="000339BE">
        <w:rPr>
          <w:sz w:val="22"/>
          <w:szCs w:val="22"/>
        </w:rPr>
        <w:t xml:space="preserve"> </w:t>
      </w:r>
    </w:p>
    <w:p w:rsidR="006B473D" w:rsidRPr="000339BE" w:rsidRDefault="006B473D" w:rsidP="006B473D">
      <w:pPr>
        <w:rPr>
          <w:sz w:val="22"/>
          <w:szCs w:val="22"/>
        </w:rPr>
      </w:pPr>
      <w:r w:rsidRPr="000339BE">
        <w:rPr>
          <w:sz w:val="22"/>
          <w:szCs w:val="22"/>
        </w:rPr>
        <w:t>Sídlo</w:t>
      </w:r>
      <w:r>
        <w:rPr>
          <w:sz w:val="22"/>
          <w:szCs w:val="22"/>
        </w:rPr>
        <w:t xml:space="preserve">     </w:t>
      </w:r>
      <w:r w:rsidRPr="000339BE">
        <w:rPr>
          <w:sz w:val="22"/>
          <w:szCs w:val="22"/>
        </w:rPr>
        <w:t xml:space="preserve"> </w:t>
      </w:r>
    </w:p>
    <w:p w:rsidR="006B473D" w:rsidRPr="000339BE" w:rsidRDefault="006B473D" w:rsidP="006B473D">
      <w:pPr>
        <w:rPr>
          <w:sz w:val="22"/>
          <w:szCs w:val="22"/>
        </w:rPr>
      </w:pPr>
      <w:r>
        <w:rPr>
          <w:sz w:val="22"/>
          <w:szCs w:val="22"/>
        </w:rPr>
        <w:t>Štatutárny orgán</w:t>
      </w:r>
      <w:r w:rsidRPr="000339BE">
        <w:rPr>
          <w:sz w:val="22"/>
          <w:szCs w:val="22"/>
        </w:rPr>
        <w:t xml:space="preserve"> </w:t>
      </w:r>
    </w:p>
    <w:p w:rsidR="006B473D" w:rsidRDefault="006B473D" w:rsidP="006B473D">
      <w:pPr>
        <w:rPr>
          <w:sz w:val="22"/>
          <w:szCs w:val="22"/>
        </w:rPr>
      </w:pPr>
      <w:r w:rsidRPr="000339BE">
        <w:rPr>
          <w:sz w:val="22"/>
          <w:szCs w:val="22"/>
        </w:rPr>
        <w:t>IČO</w:t>
      </w:r>
      <w:r w:rsidRPr="000339BE">
        <w:rPr>
          <w:sz w:val="22"/>
          <w:szCs w:val="22"/>
        </w:rPr>
        <w:tab/>
      </w:r>
      <w:r w:rsidRPr="000339BE">
        <w:rPr>
          <w:sz w:val="22"/>
          <w:szCs w:val="22"/>
        </w:rPr>
        <w:tab/>
      </w:r>
    </w:p>
    <w:p w:rsidR="006B473D" w:rsidRDefault="006B473D" w:rsidP="006B473D">
      <w:pPr>
        <w:rPr>
          <w:sz w:val="22"/>
          <w:szCs w:val="22"/>
        </w:rPr>
      </w:pPr>
      <w:r w:rsidRPr="000339BE">
        <w:rPr>
          <w:sz w:val="22"/>
          <w:szCs w:val="22"/>
        </w:rPr>
        <w:t>IČ DPH</w:t>
      </w:r>
      <w:r w:rsidRPr="000339BE">
        <w:rPr>
          <w:sz w:val="22"/>
          <w:szCs w:val="22"/>
        </w:rPr>
        <w:tab/>
      </w:r>
      <w:r w:rsidRPr="000339BE">
        <w:rPr>
          <w:sz w:val="22"/>
          <w:szCs w:val="22"/>
        </w:rPr>
        <w:tab/>
      </w:r>
    </w:p>
    <w:p w:rsidR="006B473D" w:rsidRPr="000339BE" w:rsidRDefault="006B473D" w:rsidP="006B473D">
      <w:pPr>
        <w:rPr>
          <w:sz w:val="22"/>
          <w:szCs w:val="22"/>
        </w:rPr>
      </w:pPr>
      <w:r>
        <w:rPr>
          <w:sz w:val="22"/>
          <w:szCs w:val="22"/>
        </w:rPr>
        <w:t xml:space="preserve">Telefón </w:t>
      </w:r>
      <w:r w:rsidRPr="000339BE">
        <w:rPr>
          <w:sz w:val="22"/>
          <w:szCs w:val="22"/>
        </w:rPr>
        <w:tab/>
      </w:r>
      <w:r w:rsidRPr="000339BE">
        <w:rPr>
          <w:sz w:val="22"/>
          <w:szCs w:val="22"/>
        </w:rPr>
        <w:tab/>
      </w:r>
    </w:p>
    <w:p w:rsidR="006B473D" w:rsidRDefault="006B473D" w:rsidP="006B473D">
      <w:pPr>
        <w:pStyle w:val="tl1"/>
        <w:numPr>
          <w:ilvl w:val="0"/>
          <w:numId w:val="0"/>
        </w:numPr>
        <w:jc w:val="both"/>
        <w:rPr>
          <w:rFonts w:ascii="Times New Roman" w:hAnsi="Times New Roman"/>
          <w:sz w:val="22"/>
          <w:szCs w:val="22"/>
        </w:rPr>
      </w:pPr>
      <w:r w:rsidRPr="000339BE">
        <w:rPr>
          <w:rFonts w:ascii="Times New Roman" w:hAnsi="Times New Roman"/>
          <w:sz w:val="22"/>
          <w:szCs w:val="22"/>
        </w:rPr>
        <w:t xml:space="preserve">Zapísaný v obchodnom registri: </w:t>
      </w:r>
    </w:p>
    <w:p w:rsidR="006B473D" w:rsidRPr="000339BE" w:rsidRDefault="006B473D" w:rsidP="006B473D">
      <w:pPr>
        <w:rPr>
          <w:color w:val="000000"/>
          <w:sz w:val="22"/>
          <w:szCs w:val="22"/>
        </w:rPr>
      </w:pPr>
      <w:r w:rsidRPr="000339BE">
        <w:rPr>
          <w:color w:val="000000"/>
          <w:sz w:val="22"/>
          <w:szCs w:val="22"/>
        </w:rPr>
        <w:t>IBAN</w:t>
      </w:r>
      <w:r w:rsidRPr="000339BE">
        <w:rPr>
          <w:color w:val="000000"/>
          <w:sz w:val="22"/>
          <w:szCs w:val="22"/>
        </w:rPr>
        <w:tab/>
        <w:t xml:space="preserve">: </w:t>
      </w:r>
      <w:r w:rsidRPr="000339BE">
        <w:rPr>
          <w:color w:val="000000"/>
          <w:sz w:val="22"/>
          <w:szCs w:val="22"/>
        </w:rPr>
        <w:tab/>
      </w:r>
      <w:r w:rsidRPr="000339BE">
        <w:rPr>
          <w:color w:val="000000"/>
          <w:sz w:val="22"/>
          <w:szCs w:val="22"/>
        </w:rPr>
        <w:tab/>
      </w:r>
    </w:p>
    <w:p w:rsidR="006B473D" w:rsidRPr="00344260" w:rsidRDefault="006B473D" w:rsidP="006B473D">
      <w:pPr>
        <w:pStyle w:val="tl1"/>
        <w:numPr>
          <w:ilvl w:val="0"/>
          <w:numId w:val="0"/>
        </w:numPr>
        <w:jc w:val="both"/>
        <w:rPr>
          <w:rFonts w:ascii="Times New Roman" w:hAnsi="Times New Roman"/>
          <w:sz w:val="22"/>
          <w:szCs w:val="22"/>
        </w:rPr>
      </w:pPr>
      <w:r w:rsidRPr="00344260">
        <w:rPr>
          <w:rFonts w:ascii="Times New Roman" w:hAnsi="Times New Roman"/>
          <w:color w:val="000000"/>
          <w:sz w:val="22"/>
          <w:szCs w:val="22"/>
        </w:rPr>
        <w:t>BIC/SWIFT:</w:t>
      </w:r>
      <w:r w:rsidRPr="00344260">
        <w:rPr>
          <w:rFonts w:ascii="Times New Roman" w:hAnsi="Times New Roman"/>
          <w:color w:val="000000"/>
          <w:sz w:val="22"/>
          <w:szCs w:val="22"/>
        </w:rPr>
        <w:tab/>
      </w:r>
    </w:p>
    <w:p w:rsidR="006B473D" w:rsidRDefault="006B473D" w:rsidP="006B473D">
      <w:pPr>
        <w:spacing w:before="120"/>
        <w:rPr>
          <w:i/>
          <w:iCs/>
        </w:rPr>
      </w:pPr>
      <w:r w:rsidRPr="000668EF">
        <w:rPr>
          <w:i/>
          <w:iCs/>
        </w:rPr>
        <w:t>ďalej označený aj ako „</w:t>
      </w:r>
      <w:r>
        <w:rPr>
          <w:i/>
          <w:iCs/>
        </w:rPr>
        <w:t>poskytovateľ</w:t>
      </w:r>
      <w:r w:rsidRPr="000668EF">
        <w:rPr>
          <w:i/>
          <w:iCs/>
        </w:rPr>
        <w:t xml:space="preserve">“ </w:t>
      </w:r>
    </w:p>
    <w:p w:rsidR="006B473D" w:rsidRDefault="006B473D" w:rsidP="006B473D">
      <w:pPr>
        <w:spacing w:before="120"/>
        <w:rPr>
          <w:i/>
          <w:iCs/>
        </w:rPr>
      </w:pPr>
    </w:p>
    <w:p w:rsidR="006B473D" w:rsidRPr="006F50E3" w:rsidRDefault="006B473D" w:rsidP="006B473D">
      <w:pPr>
        <w:jc w:val="center"/>
        <w:rPr>
          <w:b/>
          <w:bCs/>
          <w:color w:val="000000"/>
        </w:rPr>
      </w:pPr>
      <w:r w:rsidRPr="006F50E3">
        <w:rPr>
          <w:b/>
          <w:bCs/>
          <w:color w:val="000000"/>
        </w:rPr>
        <w:t>Preambula</w:t>
      </w:r>
    </w:p>
    <w:p w:rsidR="006B473D" w:rsidRPr="006F50E3" w:rsidRDefault="006B473D" w:rsidP="006B473D">
      <w:pPr>
        <w:jc w:val="both"/>
        <w:rPr>
          <w:color w:val="000000"/>
        </w:rPr>
      </w:pPr>
      <w:r w:rsidRPr="006F50E3">
        <w:rPr>
          <w:color w:val="000000"/>
        </w:rPr>
        <w:t xml:space="preserve">Táto zmluva </w:t>
      </w:r>
      <w:r>
        <w:rPr>
          <w:color w:val="000000"/>
        </w:rPr>
        <w:t xml:space="preserve">o dielo </w:t>
      </w:r>
      <w:r w:rsidRPr="006F50E3">
        <w:rPr>
          <w:color w:val="000000"/>
        </w:rPr>
        <w:t>sa uzatvára ako výsledok verejného obstarávania v </w:t>
      </w:r>
      <w:r>
        <w:rPr>
          <w:color w:val="000000"/>
        </w:rPr>
        <w:t>súlade s ust.</w:t>
      </w:r>
      <w:r w:rsidRPr="006F50E3">
        <w:rPr>
          <w:color w:val="000000"/>
        </w:rPr>
        <w:t xml:space="preserve"> § 3 zákona č. </w:t>
      </w:r>
      <w:r>
        <w:rPr>
          <w:color w:val="000000"/>
        </w:rPr>
        <w:t>343</w:t>
      </w:r>
      <w:r w:rsidRPr="006F50E3">
        <w:rPr>
          <w:color w:val="000000"/>
        </w:rPr>
        <w:t>/20</w:t>
      </w:r>
      <w:r>
        <w:rPr>
          <w:color w:val="000000"/>
        </w:rPr>
        <w:t>15</w:t>
      </w:r>
      <w:r w:rsidRPr="006F50E3">
        <w:rPr>
          <w:color w:val="000000"/>
        </w:rPr>
        <w:t xml:space="preserve"> Z. z. o verejnom obstarávaní a o zmene a doplnení niektorých zákonov v znení neskorších predpisov. </w:t>
      </w:r>
      <w:r>
        <w:rPr>
          <w:color w:val="000000"/>
        </w:rPr>
        <w:t>Objednávateľ</w:t>
      </w:r>
      <w:r w:rsidRPr="006F50E3">
        <w:rPr>
          <w:color w:val="000000"/>
        </w:rPr>
        <w:t xml:space="preserve"> na obstaranie predmetu zmluvy použil postup verejného obstarávania – verejnú súťaž – </w:t>
      </w:r>
      <w:r>
        <w:rPr>
          <w:color w:val="000000"/>
        </w:rPr>
        <w:t>na</w:t>
      </w:r>
      <w:r w:rsidRPr="006F50E3">
        <w:rPr>
          <w:color w:val="000000"/>
        </w:rPr>
        <w:t>dlimitnú zákazku.</w:t>
      </w:r>
    </w:p>
    <w:p w:rsidR="006B473D" w:rsidRDefault="006B473D" w:rsidP="006B473D">
      <w:pPr>
        <w:jc w:val="center"/>
        <w:rPr>
          <w:color w:val="000000"/>
          <w:sz w:val="22"/>
        </w:rPr>
      </w:pPr>
    </w:p>
    <w:p w:rsidR="006B473D" w:rsidRDefault="006B473D" w:rsidP="006B473D">
      <w:pPr>
        <w:numPr>
          <w:ilvl w:val="0"/>
          <w:numId w:val="12"/>
        </w:numPr>
        <w:jc w:val="center"/>
        <w:rPr>
          <w:color w:val="000000"/>
          <w:sz w:val="22"/>
        </w:rPr>
      </w:pPr>
    </w:p>
    <w:p w:rsidR="006B473D" w:rsidRDefault="006B473D" w:rsidP="006B473D">
      <w:pPr>
        <w:pStyle w:val="Nadpis8"/>
        <w:spacing w:before="0"/>
        <w:jc w:val="center"/>
        <w:rPr>
          <w:b/>
          <w:i w:val="0"/>
          <w:color w:val="000000"/>
        </w:rPr>
      </w:pPr>
      <w:r w:rsidRPr="006F50E3">
        <w:rPr>
          <w:b/>
          <w:i w:val="0"/>
          <w:color w:val="000000"/>
        </w:rPr>
        <w:t xml:space="preserve">Predmet </w:t>
      </w:r>
      <w:r>
        <w:rPr>
          <w:b/>
          <w:i w:val="0"/>
          <w:color w:val="000000"/>
          <w:lang w:val="sk-SK"/>
        </w:rPr>
        <w:t xml:space="preserve">rámcovej </w:t>
      </w:r>
      <w:r w:rsidRPr="006F50E3">
        <w:rPr>
          <w:b/>
          <w:i w:val="0"/>
          <w:color w:val="000000"/>
        </w:rPr>
        <w:t>zmluvy</w:t>
      </w:r>
    </w:p>
    <w:p w:rsidR="006B473D" w:rsidRDefault="006B473D" w:rsidP="006B473D">
      <w:pPr>
        <w:pStyle w:val="tl1"/>
        <w:numPr>
          <w:ilvl w:val="1"/>
          <w:numId w:val="12"/>
        </w:numPr>
        <w:tabs>
          <w:tab w:val="left" w:pos="180"/>
        </w:tabs>
        <w:jc w:val="both"/>
        <w:rPr>
          <w:rFonts w:ascii="Times New Roman" w:hAnsi="Times New Roman"/>
          <w:color w:val="000000"/>
          <w:sz w:val="24"/>
        </w:rPr>
      </w:pPr>
      <w:r w:rsidRPr="00A560A1">
        <w:rPr>
          <w:rFonts w:ascii="Times New Roman" w:hAnsi="Times New Roman"/>
          <w:sz w:val="24"/>
        </w:rPr>
        <w:t xml:space="preserve">Predmetom </w:t>
      </w:r>
      <w:r>
        <w:rPr>
          <w:rFonts w:ascii="Times New Roman" w:hAnsi="Times New Roman"/>
          <w:sz w:val="24"/>
        </w:rPr>
        <w:t xml:space="preserve">tejto rámcovej </w:t>
      </w:r>
      <w:r w:rsidRPr="00A560A1">
        <w:rPr>
          <w:rFonts w:ascii="Times New Roman" w:hAnsi="Times New Roman"/>
          <w:sz w:val="24"/>
        </w:rPr>
        <w:t>zmluvy</w:t>
      </w:r>
      <w:r>
        <w:rPr>
          <w:rFonts w:ascii="Times New Roman" w:hAnsi="Times New Roman"/>
          <w:sz w:val="24"/>
        </w:rPr>
        <w:t xml:space="preserve"> (ďalej aj len „zmluvy“)</w:t>
      </w:r>
      <w:r w:rsidRPr="00A560A1">
        <w:rPr>
          <w:rFonts w:ascii="Times New Roman" w:hAnsi="Times New Roman"/>
          <w:sz w:val="24"/>
        </w:rPr>
        <w:t xml:space="preserve"> je poskyt</w:t>
      </w:r>
      <w:r>
        <w:rPr>
          <w:rFonts w:ascii="Times New Roman" w:hAnsi="Times New Roman"/>
          <w:sz w:val="24"/>
        </w:rPr>
        <w:t>ovanie</w:t>
      </w:r>
      <w:r w:rsidRPr="00A560A1">
        <w:rPr>
          <w:rFonts w:ascii="Times New Roman" w:hAnsi="Times New Roman"/>
          <w:sz w:val="24"/>
        </w:rPr>
        <w:t xml:space="preserve"> služ</w:t>
      </w:r>
      <w:r>
        <w:rPr>
          <w:rFonts w:ascii="Times New Roman" w:hAnsi="Times New Roman"/>
          <w:sz w:val="24"/>
        </w:rPr>
        <w:t>ieb:</w:t>
      </w:r>
      <w:r w:rsidRPr="00A560A1">
        <w:rPr>
          <w:rFonts w:ascii="Times New Roman" w:hAnsi="Times New Roman"/>
          <w:sz w:val="24"/>
        </w:rPr>
        <w:t xml:space="preserve"> </w:t>
      </w:r>
      <w:r w:rsidRPr="00A560A1">
        <w:rPr>
          <w:rFonts w:ascii="Times New Roman" w:hAnsi="Times New Roman"/>
          <w:noProof/>
          <w:sz w:val="24"/>
        </w:rPr>
        <w:t xml:space="preserve">„Likvidácia </w:t>
      </w:r>
      <w:r w:rsidRPr="00EB2D2F">
        <w:rPr>
          <w:rFonts w:ascii="Times New Roman" w:hAnsi="Times New Roman"/>
          <w:noProof/>
          <w:sz w:val="24"/>
        </w:rPr>
        <w:t>nebezpečného odpadu a ostatného odpadu</w:t>
      </w:r>
      <w:r w:rsidRPr="00A560A1">
        <w:rPr>
          <w:rFonts w:ascii="Times New Roman" w:hAnsi="Times New Roman"/>
          <w:noProof/>
          <w:sz w:val="24"/>
        </w:rPr>
        <w:t xml:space="preserve"> zo zdravotnej starostlivosti pre potreby Fakultnej nemocnice s poliklinikou F. D. Roosevelta Banská Bystrica" na obdobie 24 mesiacov </w:t>
      </w:r>
      <w:r w:rsidRPr="00A560A1">
        <w:rPr>
          <w:rFonts w:ascii="Times New Roman" w:hAnsi="Times New Roman"/>
          <w:sz w:val="24"/>
        </w:rPr>
        <w:t>podľa prílohy č. 1, ktorá tvorí neoddeliteľnú súčasť tejto zmluvy</w:t>
      </w:r>
      <w:r>
        <w:rPr>
          <w:rFonts w:ascii="Times New Roman" w:hAnsi="Times New Roman"/>
          <w:sz w:val="24"/>
        </w:rPr>
        <w:t>.</w:t>
      </w:r>
      <w:r w:rsidRPr="00A560A1">
        <w:rPr>
          <w:rFonts w:ascii="Times New Roman" w:hAnsi="Times New Roman"/>
          <w:sz w:val="24"/>
        </w:rPr>
        <w:t xml:space="preserve">  </w:t>
      </w:r>
    </w:p>
    <w:p w:rsidR="006B473D" w:rsidRPr="000B7288" w:rsidRDefault="006B473D" w:rsidP="006B473D">
      <w:pPr>
        <w:pStyle w:val="tl1"/>
        <w:numPr>
          <w:ilvl w:val="1"/>
          <w:numId w:val="12"/>
        </w:numPr>
        <w:tabs>
          <w:tab w:val="left" w:pos="180"/>
        </w:tabs>
        <w:jc w:val="both"/>
        <w:rPr>
          <w:rFonts w:ascii="Times New Roman" w:hAnsi="Times New Roman"/>
          <w:color w:val="000000"/>
          <w:sz w:val="24"/>
        </w:rPr>
      </w:pPr>
      <w:r w:rsidRPr="0096104D">
        <w:rPr>
          <w:rFonts w:ascii="Times New Roman" w:hAnsi="Times New Roman"/>
          <w:sz w:val="24"/>
        </w:rPr>
        <w:t xml:space="preserve">Odpad, ktorého pôvodcom je </w:t>
      </w:r>
      <w:r>
        <w:rPr>
          <w:rFonts w:ascii="Times New Roman" w:hAnsi="Times New Roman"/>
          <w:sz w:val="24"/>
        </w:rPr>
        <w:t>objednávateľ,</w:t>
      </w:r>
      <w:r w:rsidRPr="0096104D">
        <w:rPr>
          <w:rFonts w:ascii="Times New Roman" w:hAnsi="Times New Roman"/>
          <w:sz w:val="24"/>
        </w:rPr>
        <w:t xml:space="preserve">  je podľa zákona č. 79/2015 Z.z.</w:t>
      </w:r>
      <w:r>
        <w:rPr>
          <w:rFonts w:ascii="Times New Roman" w:hAnsi="Times New Roman"/>
          <w:sz w:val="24"/>
        </w:rPr>
        <w:t xml:space="preserve"> o odpadoch a o zmene a doplnení niektorých zákonov, ktorým sa </w:t>
      </w:r>
      <w:r w:rsidRPr="0096104D">
        <w:rPr>
          <w:rFonts w:ascii="Times New Roman" w:hAnsi="Times New Roman"/>
          <w:sz w:val="24"/>
        </w:rPr>
        <w:t xml:space="preserve">ustanovuje Katalóg odpadov  začlenený do kategórie: nebezpečné odpady (N), do skupiny č. 18: </w:t>
      </w:r>
      <w:r w:rsidRPr="0096104D">
        <w:rPr>
          <w:rFonts w:ascii="Times New Roman" w:hAnsi="Times New Roman"/>
          <w:sz w:val="24"/>
        </w:rPr>
        <w:lastRenderedPageBreak/>
        <w:t xml:space="preserve">„Odpady zo zdravotnej alebo veterinárnej starostlivosti alebo s nimi súvisiaceho výskumu (okrem kuchynských a reštauračných odpadov, ktoré nevznikli z priamej zdravotnej starostlivosti)“, číslo podskupiny a druhu odpadu: </w:t>
      </w:r>
      <w:r w:rsidRPr="00EB2D2F">
        <w:rPr>
          <w:rFonts w:ascii="Times New Roman" w:hAnsi="Times New Roman"/>
          <w:sz w:val="24"/>
        </w:rPr>
        <w:t>18 01 03,  18 01 04, 18 01 08.</w:t>
      </w:r>
    </w:p>
    <w:p w:rsidR="006B473D" w:rsidRPr="0096104D" w:rsidRDefault="006B473D" w:rsidP="006B473D">
      <w:pPr>
        <w:pStyle w:val="tl1"/>
        <w:numPr>
          <w:ilvl w:val="0"/>
          <w:numId w:val="0"/>
        </w:numPr>
        <w:tabs>
          <w:tab w:val="left" w:pos="180"/>
        </w:tabs>
        <w:ind w:left="851"/>
        <w:jc w:val="both"/>
        <w:rPr>
          <w:rFonts w:ascii="Times New Roman" w:hAnsi="Times New Roman"/>
          <w:color w:val="000000"/>
          <w:sz w:val="24"/>
        </w:rPr>
      </w:pPr>
    </w:p>
    <w:p w:rsidR="006B473D" w:rsidRPr="006F50E3" w:rsidRDefault="006B473D" w:rsidP="006B473D">
      <w:pPr>
        <w:numPr>
          <w:ilvl w:val="0"/>
          <w:numId w:val="12"/>
        </w:numPr>
        <w:jc w:val="center"/>
        <w:rPr>
          <w:color w:val="000000"/>
        </w:rPr>
      </w:pPr>
    </w:p>
    <w:p w:rsidR="006B473D" w:rsidRPr="00F22833" w:rsidRDefault="006B473D" w:rsidP="006B473D">
      <w:pPr>
        <w:ind w:left="360" w:hanging="360"/>
        <w:jc w:val="center"/>
        <w:rPr>
          <w:b/>
          <w:szCs w:val="22"/>
        </w:rPr>
      </w:pPr>
      <w:r w:rsidRPr="00F22833">
        <w:rPr>
          <w:b/>
          <w:szCs w:val="22"/>
        </w:rPr>
        <w:t>Čas, miesto a spôsob plnenia zmluvy</w:t>
      </w:r>
    </w:p>
    <w:p w:rsidR="006B473D" w:rsidRPr="00DD607B" w:rsidRDefault="006B473D" w:rsidP="006B473D">
      <w:pPr>
        <w:pStyle w:val="tl1"/>
        <w:numPr>
          <w:ilvl w:val="1"/>
          <w:numId w:val="5"/>
        </w:numPr>
        <w:jc w:val="both"/>
        <w:rPr>
          <w:rFonts w:ascii="Times New Roman" w:hAnsi="Times New Roman"/>
          <w:sz w:val="24"/>
        </w:rPr>
      </w:pPr>
      <w:r>
        <w:rPr>
          <w:rFonts w:ascii="Times New Roman" w:hAnsi="Times New Roman"/>
          <w:i/>
          <w:sz w:val="24"/>
        </w:rPr>
        <w:t>Poskytovateľ</w:t>
      </w:r>
      <w:r w:rsidRPr="00DD607B">
        <w:rPr>
          <w:rFonts w:ascii="Times New Roman" w:hAnsi="Times New Roman"/>
          <w:i/>
          <w:sz w:val="24"/>
        </w:rPr>
        <w:t xml:space="preserve"> sa zaväzuje:</w:t>
      </w:r>
    </w:p>
    <w:p w:rsidR="006B473D" w:rsidRPr="00DD607B" w:rsidRDefault="006B473D" w:rsidP="006B473D">
      <w:pPr>
        <w:pStyle w:val="tl1"/>
        <w:numPr>
          <w:ilvl w:val="2"/>
          <w:numId w:val="5"/>
        </w:numPr>
        <w:jc w:val="both"/>
        <w:rPr>
          <w:rFonts w:ascii="Times New Roman" w:hAnsi="Times New Roman"/>
          <w:sz w:val="24"/>
        </w:rPr>
      </w:pPr>
      <w:r w:rsidRPr="00DD607B">
        <w:rPr>
          <w:rFonts w:ascii="Times New Roman" w:hAnsi="Times New Roman"/>
          <w:sz w:val="24"/>
        </w:rPr>
        <w:t>Zabezpečiť plnenie predmetu zmluvy v súlade s platnými všeobecne záväznými predpismi v</w:t>
      </w:r>
      <w:r>
        <w:rPr>
          <w:rFonts w:ascii="Times New Roman" w:hAnsi="Times New Roman"/>
          <w:sz w:val="24"/>
        </w:rPr>
        <w:t xml:space="preserve"> oblasti </w:t>
      </w:r>
      <w:r w:rsidRPr="00DD607B">
        <w:rPr>
          <w:rFonts w:ascii="Times New Roman" w:hAnsi="Times New Roman"/>
          <w:sz w:val="24"/>
        </w:rPr>
        <w:t>odpadov</w:t>
      </w:r>
      <w:r>
        <w:rPr>
          <w:rFonts w:ascii="Times New Roman" w:hAnsi="Times New Roman"/>
          <w:sz w:val="24"/>
        </w:rPr>
        <w:t>ého</w:t>
      </w:r>
      <w:r w:rsidRPr="00DD607B">
        <w:rPr>
          <w:rFonts w:ascii="Times New Roman" w:hAnsi="Times New Roman"/>
          <w:sz w:val="24"/>
        </w:rPr>
        <w:t xml:space="preserve"> hospodárstv</w:t>
      </w:r>
      <w:r>
        <w:rPr>
          <w:rFonts w:ascii="Times New Roman" w:hAnsi="Times New Roman"/>
          <w:sz w:val="24"/>
        </w:rPr>
        <w:t>a</w:t>
      </w:r>
      <w:r w:rsidRPr="00DD607B">
        <w:rPr>
          <w:rFonts w:ascii="Times New Roman" w:hAnsi="Times New Roman"/>
          <w:sz w:val="24"/>
        </w:rPr>
        <w:t>.</w:t>
      </w:r>
    </w:p>
    <w:p w:rsidR="006B473D" w:rsidRPr="00DD607B" w:rsidRDefault="006B473D" w:rsidP="006B473D">
      <w:pPr>
        <w:pStyle w:val="tl1"/>
        <w:numPr>
          <w:ilvl w:val="2"/>
          <w:numId w:val="5"/>
        </w:numPr>
        <w:spacing w:before="120"/>
        <w:jc w:val="both"/>
        <w:rPr>
          <w:rFonts w:ascii="Times New Roman" w:hAnsi="Times New Roman"/>
          <w:sz w:val="24"/>
        </w:rPr>
      </w:pPr>
      <w:r w:rsidRPr="00DD607B">
        <w:rPr>
          <w:rFonts w:ascii="Times New Roman" w:hAnsi="Times New Roman"/>
          <w:sz w:val="24"/>
        </w:rPr>
        <w:t xml:space="preserve">Zabezpečiť plnenie predmetu zmluvy v intervaloch pravidelne každý týždeň – 1-krát do týždňa, pričom množstvo zhromaždeného nebezpečného odpadu a termín odberu bude vždy dopredu telefonicky nahlásený. </w:t>
      </w:r>
    </w:p>
    <w:p w:rsidR="006B473D" w:rsidRPr="00DD607B" w:rsidRDefault="006B473D" w:rsidP="006B473D">
      <w:pPr>
        <w:pStyle w:val="tl1"/>
        <w:numPr>
          <w:ilvl w:val="2"/>
          <w:numId w:val="5"/>
        </w:numPr>
        <w:spacing w:before="120"/>
        <w:jc w:val="both"/>
        <w:rPr>
          <w:rFonts w:ascii="Times New Roman" w:hAnsi="Times New Roman"/>
          <w:sz w:val="24"/>
        </w:rPr>
      </w:pPr>
      <w:r w:rsidRPr="00DD607B">
        <w:rPr>
          <w:rFonts w:ascii="Times New Roman" w:hAnsi="Times New Roman"/>
          <w:sz w:val="24"/>
        </w:rPr>
        <w:t>V nevyhnutných prípadoch na základe požiadavky objednávateľa zabezpečiť plnenie predmetu zmluvy aj 2-krát do týždňa.</w:t>
      </w:r>
    </w:p>
    <w:p w:rsidR="006B473D" w:rsidRPr="00DD607B" w:rsidRDefault="006B473D" w:rsidP="006B473D">
      <w:pPr>
        <w:pStyle w:val="tl1"/>
        <w:numPr>
          <w:ilvl w:val="2"/>
          <w:numId w:val="5"/>
        </w:numPr>
        <w:spacing w:before="120"/>
        <w:jc w:val="both"/>
        <w:rPr>
          <w:rFonts w:ascii="Times New Roman" w:hAnsi="Times New Roman"/>
          <w:sz w:val="24"/>
        </w:rPr>
      </w:pPr>
      <w:r w:rsidRPr="00DD607B">
        <w:rPr>
          <w:rFonts w:ascii="Times New Roman" w:hAnsi="Times New Roman"/>
          <w:sz w:val="24"/>
        </w:rPr>
        <w:t xml:space="preserve">Dodržať pravidelnosť plnenia zmluvy v súlade s podmienkami uvedenými v bode </w:t>
      </w:r>
      <w:r>
        <w:rPr>
          <w:rFonts w:ascii="Times New Roman" w:hAnsi="Times New Roman"/>
          <w:sz w:val="24"/>
        </w:rPr>
        <w:t>2.1.2</w:t>
      </w:r>
      <w:r w:rsidRPr="00DD607B">
        <w:rPr>
          <w:rFonts w:ascii="Times New Roman" w:hAnsi="Times New Roman"/>
          <w:sz w:val="24"/>
        </w:rPr>
        <w:t xml:space="preserve"> a</w:t>
      </w:r>
      <w:r>
        <w:rPr>
          <w:rFonts w:ascii="Times New Roman" w:hAnsi="Times New Roman"/>
          <w:sz w:val="24"/>
        </w:rPr>
        <w:t> 2.1</w:t>
      </w:r>
      <w:r w:rsidRPr="00DD607B">
        <w:rPr>
          <w:rFonts w:ascii="Times New Roman" w:hAnsi="Times New Roman"/>
          <w:sz w:val="24"/>
        </w:rPr>
        <w:t xml:space="preserve">.3, aj počas prípadnej odstávky alebo podobných nepredvídateľných okolností zo strany </w:t>
      </w:r>
      <w:r>
        <w:rPr>
          <w:rFonts w:ascii="Times New Roman" w:hAnsi="Times New Roman"/>
          <w:sz w:val="24"/>
        </w:rPr>
        <w:t>poskytovateľa.</w:t>
      </w:r>
      <w:r w:rsidRPr="00DD607B">
        <w:rPr>
          <w:rFonts w:ascii="Times New Roman" w:hAnsi="Times New Roman"/>
          <w:sz w:val="24"/>
        </w:rPr>
        <w:t xml:space="preserve">  </w:t>
      </w:r>
    </w:p>
    <w:p w:rsidR="006B473D" w:rsidRPr="00DD607B" w:rsidRDefault="006B473D" w:rsidP="006B473D">
      <w:pPr>
        <w:pStyle w:val="tl1"/>
        <w:numPr>
          <w:ilvl w:val="2"/>
          <w:numId w:val="5"/>
        </w:numPr>
        <w:spacing w:before="120"/>
        <w:jc w:val="both"/>
        <w:rPr>
          <w:rFonts w:ascii="Times New Roman" w:hAnsi="Times New Roman"/>
          <w:sz w:val="24"/>
        </w:rPr>
      </w:pPr>
      <w:r w:rsidRPr="00DD607B">
        <w:rPr>
          <w:rFonts w:ascii="Times New Roman" w:hAnsi="Times New Roman"/>
          <w:sz w:val="24"/>
        </w:rPr>
        <w:t>Zabezpečiť odber nebezpečného odpadu od objednávateľa z priestoru určeného na zhromažďovanie nebezpečného odpadu v areáli NNA (Nový ne</w:t>
      </w:r>
      <w:r>
        <w:rPr>
          <w:rFonts w:ascii="Times New Roman" w:hAnsi="Times New Roman"/>
          <w:sz w:val="24"/>
        </w:rPr>
        <w:t>mocničný areál) FNsP F. </w:t>
      </w:r>
      <w:r w:rsidRPr="00DD607B">
        <w:rPr>
          <w:rFonts w:ascii="Times New Roman" w:hAnsi="Times New Roman"/>
          <w:sz w:val="24"/>
        </w:rPr>
        <w:t xml:space="preserve">D. Roosevelta Banská Bystrica, </w:t>
      </w:r>
      <w:r>
        <w:rPr>
          <w:rFonts w:ascii="Times New Roman" w:hAnsi="Times New Roman"/>
          <w:sz w:val="24"/>
        </w:rPr>
        <w:t>N</w:t>
      </w:r>
      <w:r w:rsidRPr="00DD607B">
        <w:rPr>
          <w:rFonts w:ascii="Times New Roman" w:hAnsi="Times New Roman"/>
          <w:sz w:val="24"/>
        </w:rPr>
        <w:t>á</w:t>
      </w:r>
      <w:r>
        <w:rPr>
          <w:rFonts w:ascii="Times New Roman" w:hAnsi="Times New Roman"/>
          <w:sz w:val="24"/>
        </w:rPr>
        <w:t>m. L. Svobodu č. 1, 975 17 Banská Bystrica.</w:t>
      </w:r>
    </w:p>
    <w:p w:rsidR="006B473D" w:rsidRPr="00DD607B" w:rsidRDefault="006B473D" w:rsidP="006B473D">
      <w:pPr>
        <w:pStyle w:val="tl1"/>
        <w:numPr>
          <w:ilvl w:val="2"/>
          <w:numId w:val="5"/>
        </w:numPr>
        <w:spacing w:before="120"/>
        <w:jc w:val="both"/>
        <w:rPr>
          <w:rFonts w:ascii="Times New Roman" w:hAnsi="Times New Roman"/>
          <w:sz w:val="24"/>
        </w:rPr>
      </w:pPr>
      <w:r w:rsidRPr="00DD607B">
        <w:rPr>
          <w:rFonts w:ascii="Times New Roman" w:hAnsi="Times New Roman"/>
          <w:sz w:val="24"/>
        </w:rPr>
        <w:t xml:space="preserve">Predkladať objednávateľovi príslušnú dokumentáciu o nakladaní s nebezpečným odpadom v súlade s platnými zákonnými predpismi v odpadovom hospodárstve: Sprievodný list nebezpečných odpadov, doklad o skutočnej váhe zneškodňovaného odpadu. Tieto doklady  potvrdené všetkými subjektmi, ktoré sa nakladania s odpadom zúčastňujú, bude zhotoviteľ predkladať objednávateľovi spolu s účtovným dokladom – faktúrou. </w:t>
      </w:r>
    </w:p>
    <w:p w:rsidR="006B473D" w:rsidRPr="00DD607B" w:rsidRDefault="006B473D" w:rsidP="006B473D">
      <w:pPr>
        <w:pStyle w:val="tl1"/>
        <w:numPr>
          <w:ilvl w:val="2"/>
          <w:numId w:val="5"/>
        </w:numPr>
        <w:spacing w:before="120"/>
        <w:jc w:val="both"/>
        <w:rPr>
          <w:rFonts w:ascii="Times New Roman" w:hAnsi="Times New Roman"/>
          <w:sz w:val="24"/>
        </w:rPr>
      </w:pPr>
      <w:r>
        <w:rPr>
          <w:rFonts w:ascii="Times New Roman" w:hAnsi="Times New Roman"/>
          <w:sz w:val="24"/>
        </w:rPr>
        <w:t>Poskytovateľ</w:t>
      </w:r>
      <w:r w:rsidRPr="00DD607B">
        <w:rPr>
          <w:rFonts w:ascii="Times New Roman" w:hAnsi="Times New Roman"/>
          <w:sz w:val="24"/>
        </w:rPr>
        <w:t xml:space="preserve"> sa zaväzuje, že si nebude podmieňovať plnenie predmetu zmluvy vysporiadaním finančných pohľadávok z obdobia pred uplatnením jednotlivých objednávok a plnenie predmetu zmluvy bude zabezpečovať podľa podmienok dohodnutých v tejto zmluve. </w:t>
      </w:r>
    </w:p>
    <w:p w:rsidR="006B473D" w:rsidRDefault="006B473D" w:rsidP="006B473D">
      <w:pPr>
        <w:jc w:val="both"/>
        <w:rPr>
          <w:sz w:val="22"/>
          <w:szCs w:val="22"/>
        </w:rPr>
      </w:pPr>
    </w:p>
    <w:p w:rsidR="006B473D" w:rsidRDefault="006B473D" w:rsidP="006B473D">
      <w:pPr>
        <w:numPr>
          <w:ilvl w:val="1"/>
          <w:numId w:val="5"/>
        </w:numPr>
        <w:jc w:val="both"/>
        <w:rPr>
          <w:i/>
          <w:szCs w:val="22"/>
        </w:rPr>
      </w:pPr>
      <w:r w:rsidRPr="00DD607B">
        <w:rPr>
          <w:i/>
          <w:szCs w:val="22"/>
        </w:rPr>
        <w:t>Objednávateľ sa zaväzuje:</w:t>
      </w:r>
    </w:p>
    <w:p w:rsidR="006B473D" w:rsidRPr="00DD607B" w:rsidRDefault="006B473D" w:rsidP="006B473D">
      <w:pPr>
        <w:numPr>
          <w:ilvl w:val="2"/>
          <w:numId w:val="5"/>
        </w:numPr>
        <w:jc w:val="both"/>
        <w:rPr>
          <w:i/>
        </w:rPr>
      </w:pPr>
      <w:r w:rsidRPr="00DD607B">
        <w:t xml:space="preserve">Vzniknutý odpad </w:t>
      </w:r>
      <w:r>
        <w:t>špecifikovaný</w:t>
      </w:r>
      <w:r w:rsidRPr="00DD607B">
        <w:t xml:space="preserve"> v prílohe č. 1 tejto zmluvy triediť podľa druhov už na mieste vzniku</w:t>
      </w:r>
      <w:r>
        <w:t xml:space="preserve"> a </w:t>
      </w:r>
      <w:r w:rsidRPr="00DD607B">
        <w:t xml:space="preserve"> zhromažďovať </w:t>
      </w:r>
      <w:r>
        <w:t xml:space="preserve">ho </w:t>
      </w:r>
      <w:r w:rsidRPr="00DD607B">
        <w:t xml:space="preserve">oddelene vo vyhradených priestoroch. </w:t>
      </w:r>
    </w:p>
    <w:p w:rsidR="006B473D" w:rsidRPr="00DD607B" w:rsidRDefault="006B473D" w:rsidP="006B473D">
      <w:pPr>
        <w:numPr>
          <w:ilvl w:val="2"/>
          <w:numId w:val="5"/>
        </w:numPr>
        <w:spacing w:before="120"/>
        <w:jc w:val="both"/>
        <w:rPr>
          <w:i/>
        </w:rPr>
      </w:pPr>
      <w:r w:rsidRPr="00DD607B">
        <w:t xml:space="preserve">Zabezpečiť zhromažďovanie vzniknutého nebezpečného odpadu zo SNA (Starý nemocničný areál) FNsP F. D. Roosevelta Banská Bystrica, Cesta k nemocnici č. 1, Banská Bystrica a NNA (Nový nemocničný areál) FNsP F. D. Roosevelta Banská Bystrica, </w:t>
      </w:r>
      <w:r>
        <w:t>N</w:t>
      </w:r>
      <w:r w:rsidRPr="00DD607B">
        <w:t xml:space="preserve">ám. L. Svobodu č. 1, Banská Bystrica </w:t>
      </w:r>
      <w:r>
        <w:t>v</w:t>
      </w:r>
      <w:r w:rsidRPr="00DD607B">
        <w:t> určenom vyhradenom priestore v areáli NNA FNsP F. D. Roosevelta Banská Bystrica.</w:t>
      </w:r>
    </w:p>
    <w:p w:rsidR="006B473D" w:rsidRPr="00DD607B" w:rsidRDefault="006B473D" w:rsidP="006B473D">
      <w:pPr>
        <w:numPr>
          <w:ilvl w:val="2"/>
          <w:numId w:val="5"/>
        </w:numPr>
        <w:spacing w:before="120"/>
        <w:jc w:val="both"/>
        <w:rPr>
          <w:i/>
        </w:rPr>
      </w:pPr>
      <w:r w:rsidRPr="00DD607B">
        <w:t xml:space="preserve">Zabezpečiť na vlastné náklady prepravu vzniknutých nebezpečných odpadov zo SNA do NNA nákladnou automobilovou dopravou za účelom zhromažďovania týchto odpadov pred zabezpečením ich zneškodnenia v zariadeniach na tento účel určených. </w:t>
      </w:r>
    </w:p>
    <w:p w:rsidR="006B473D" w:rsidRPr="00DD607B" w:rsidRDefault="006B473D" w:rsidP="006B473D">
      <w:pPr>
        <w:numPr>
          <w:ilvl w:val="2"/>
          <w:numId w:val="5"/>
        </w:numPr>
        <w:spacing w:before="120"/>
        <w:jc w:val="both"/>
        <w:rPr>
          <w:i/>
        </w:rPr>
      </w:pPr>
      <w:r w:rsidRPr="00DD607B">
        <w:t>Zhromažďovať nebezpečné odpady oddelene v súlade s platnými zákonnými predpismi v odpadovom hospodárstve vo vhodných obaloch, (napr. v nepriepustných nádobách na tento účel určených – klinix box, resp. vo  vyhovujúcich plastových obaloch (vrecia farebne rozlíšené), ktoré budú zabezpečené proti úniku týchto odpadov do životného prostredia. Zhromažďovanie nebezpečných odpadov u objednávateľa je len dočasné uloženie týchto odpadov pred ďalším nakladaním s nimi.</w:t>
      </w:r>
    </w:p>
    <w:p w:rsidR="006B473D" w:rsidRPr="00DD607B" w:rsidRDefault="006B473D" w:rsidP="006B473D">
      <w:pPr>
        <w:numPr>
          <w:ilvl w:val="2"/>
          <w:numId w:val="5"/>
        </w:numPr>
        <w:spacing w:before="120"/>
        <w:jc w:val="both"/>
        <w:rPr>
          <w:i/>
        </w:rPr>
      </w:pPr>
      <w:r w:rsidRPr="00DD607B">
        <w:t xml:space="preserve">Zabezpečiť na vlastné náklady a svojimi </w:t>
      </w:r>
      <w:r>
        <w:t>zamestnancami</w:t>
      </w:r>
      <w:r w:rsidRPr="00DD607B">
        <w:t xml:space="preserve"> zodpovednými za nakladanie s odpadom naloženie zhromaždeného nebezpečného odpadu z určeného priestoru v areáli NNA (Nový nemocničný areál) FNsP FDR BB do auta </w:t>
      </w:r>
      <w:r>
        <w:t>poskytovateľ</w:t>
      </w:r>
      <w:r w:rsidRPr="00DD607B">
        <w:t xml:space="preserve">a. Za ďalšie nakladanie s týmto odpadom zodpovedá </w:t>
      </w:r>
      <w:r>
        <w:t>poskytovateľ</w:t>
      </w:r>
      <w:r w:rsidRPr="00DD607B">
        <w:t>.</w:t>
      </w:r>
    </w:p>
    <w:p w:rsidR="006B473D" w:rsidRPr="00A06F1F" w:rsidRDefault="006B473D" w:rsidP="006B473D">
      <w:pPr>
        <w:numPr>
          <w:ilvl w:val="2"/>
          <w:numId w:val="5"/>
        </w:numPr>
        <w:spacing w:before="120"/>
        <w:jc w:val="both"/>
        <w:rPr>
          <w:i/>
        </w:rPr>
      </w:pPr>
      <w:r w:rsidRPr="00DD607B">
        <w:t xml:space="preserve">Umožniť </w:t>
      </w:r>
      <w:r>
        <w:t>poskytovateľ</w:t>
      </w:r>
      <w:r w:rsidRPr="00DD607B">
        <w:t>ovi resp. ním povereným tretím osobám vstup do areálu NNA (Nový nemocničný areál) FNsP FDR BB</w:t>
      </w:r>
      <w:r>
        <w:t xml:space="preserve"> za účelom prevzatia odpadu</w:t>
      </w:r>
      <w:r w:rsidRPr="00DD607B">
        <w:t xml:space="preserve">. </w:t>
      </w:r>
    </w:p>
    <w:p w:rsidR="006B473D" w:rsidRPr="00344260" w:rsidRDefault="006B473D" w:rsidP="006B473D">
      <w:pPr>
        <w:spacing w:before="120"/>
        <w:ind w:left="720"/>
        <w:jc w:val="both"/>
        <w:rPr>
          <w:i/>
        </w:rPr>
      </w:pPr>
    </w:p>
    <w:p w:rsidR="006B473D" w:rsidRDefault="006B473D" w:rsidP="006B473D">
      <w:pPr>
        <w:numPr>
          <w:ilvl w:val="1"/>
          <w:numId w:val="5"/>
        </w:numPr>
        <w:jc w:val="both"/>
        <w:rPr>
          <w:i/>
          <w:szCs w:val="22"/>
        </w:rPr>
      </w:pPr>
      <w:r>
        <w:rPr>
          <w:i/>
          <w:szCs w:val="22"/>
        </w:rPr>
        <w:t>Plnenie zmluvy prostredníctvom subdodávateľov</w:t>
      </w:r>
      <w:r w:rsidRPr="00DD607B">
        <w:rPr>
          <w:i/>
          <w:szCs w:val="22"/>
        </w:rPr>
        <w:t>:</w:t>
      </w:r>
    </w:p>
    <w:p w:rsidR="006B473D" w:rsidRPr="000F40B6" w:rsidRDefault="006B473D" w:rsidP="006B473D">
      <w:pPr>
        <w:pStyle w:val="tl1"/>
        <w:numPr>
          <w:ilvl w:val="0"/>
          <w:numId w:val="0"/>
        </w:numPr>
        <w:tabs>
          <w:tab w:val="left" w:pos="851"/>
        </w:tabs>
        <w:ind w:left="567" w:hanging="567"/>
        <w:jc w:val="both"/>
        <w:rPr>
          <w:rFonts w:ascii="Times New Roman" w:hAnsi="Times New Roman"/>
          <w:sz w:val="24"/>
        </w:rPr>
      </w:pPr>
      <w:r w:rsidRPr="00E0131E">
        <w:rPr>
          <w:rFonts w:ascii="Times New Roman" w:hAnsi="Times New Roman"/>
          <w:sz w:val="22"/>
          <w:szCs w:val="22"/>
        </w:rPr>
        <w:t xml:space="preserve">2.3.1 </w:t>
      </w:r>
      <w:r>
        <w:rPr>
          <w:rFonts w:ascii="Times New Roman" w:hAnsi="Times New Roman"/>
          <w:sz w:val="22"/>
          <w:szCs w:val="22"/>
        </w:rPr>
        <w:t>Poskytovateľ</w:t>
      </w:r>
      <w:r w:rsidRPr="00B40169">
        <w:rPr>
          <w:rFonts w:ascii="Times New Roman" w:hAnsi="Times New Roman"/>
          <w:sz w:val="24"/>
        </w:rPr>
        <w:t xml:space="preserve"> </w:t>
      </w:r>
      <w:r w:rsidRPr="000F40B6">
        <w:rPr>
          <w:rFonts w:ascii="Times New Roman" w:hAnsi="Times New Roman"/>
          <w:sz w:val="24"/>
        </w:rPr>
        <w:t xml:space="preserve">je vzhľadom na rozsah plnenia oprávnený plniť svoje záväzky </w:t>
      </w:r>
      <w:r>
        <w:rPr>
          <w:rFonts w:ascii="Times New Roman" w:hAnsi="Times New Roman"/>
          <w:sz w:val="24"/>
        </w:rPr>
        <w:t xml:space="preserve">vyplývajúce </w:t>
      </w:r>
      <w:r w:rsidRPr="000F40B6">
        <w:rPr>
          <w:rFonts w:ascii="Times New Roman" w:hAnsi="Times New Roman"/>
          <w:sz w:val="24"/>
        </w:rPr>
        <w:t>z tejto zmluvy aj prostredníctvom tretích osôb (subdodávateľov).</w:t>
      </w:r>
    </w:p>
    <w:p w:rsidR="006B473D" w:rsidRPr="000F40B6" w:rsidRDefault="006B473D" w:rsidP="006B473D">
      <w:pPr>
        <w:pStyle w:val="tl1"/>
        <w:numPr>
          <w:ilvl w:val="2"/>
          <w:numId w:val="7"/>
        </w:numPr>
        <w:tabs>
          <w:tab w:val="left" w:pos="567"/>
        </w:tabs>
        <w:ind w:left="567" w:hanging="567"/>
        <w:jc w:val="both"/>
        <w:rPr>
          <w:rFonts w:ascii="Times New Roman" w:hAnsi="Times New Roman"/>
          <w:sz w:val="24"/>
        </w:rPr>
      </w:pPr>
      <w:r>
        <w:rPr>
          <w:rFonts w:ascii="Times New Roman" w:hAnsi="Times New Roman"/>
          <w:sz w:val="24"/>
        </w:rPr>
        <w:t>Poskytovateľ</w:t>
      </w:r>
      <w:r w:rsidRPr="000F40B6">
        <w:rPr>
          <w:rFonts w:ascii="Times New Roman" w:hAnsi="Times New Roman"/>
          <w:sz w:val="24"/>
        </w:rPr>
        <w:t xml:space="preserve"> zodpovedá za výber svojich subdodávateľov a/alebo spolupracujúcich tretích osôb.</w:t>
      </w:r>
    </w:p>
    <w:p w:rsidR="006B473D" w:rsidRPr="000F40B6" w:rsidRDefault="006B473D" w:rsidP="006B473D">
      <w:pPr>
        <w:pStyle w:val="tl1"/>
        <w:numPr>
          <w:ilvl w:val="2"/>
          <w:numId w:val="7"/>
        </w:numPr>
        <w:tabs>
          <w:tab w:val="left" w:pos="567"/>
        </w:tabs>
        <w:ind w:left="567" w:hanging="567"/>
        <w:jc w:val="both"/>
        <w:rPr>
          <w:rFonts w:ascii="Times New Roman" w:hAnsi="Times New Roman"/>
          <w:sz w:val="24"/>
        </w:rPr>
      </w:pPr>
      <w:r w:rsidRPr="000F40B6">
        <w:rPr>
          <w:rFonts w:ascii="Times New Roman" w:hAnsi="Times New Roman"/>
          <w:sz w:val="24"/>
        </w:rPr>
        <w:t xml:space="preserve">Pokiaľ </w:t>
      </w:r>
      <w:r>
        <w:rPr>
          <w:rFonts w:ascii="Times New Roman" w:hAnsi="Times New Roman"/>
          <w:sz w:val="24"/>
        </w:rPr>
        <w:t>poskytovateľ</w:t>
      </w:r>
      <w:r w:rsidRPr="000F40B6">
        <w:rPr>
          <w:rFonts w:ascii="Times New Roman" w:hAnsi="Times New Roman"/>
          <w:sz w:val="24"/>
        </w:rPr>
        <w:t xml:space="preserve"> použije na plnenie svojich záväzkov podľa tejto zmluvy tretiu osobu, zodpovedá, akoby záväzok plnil sám.</w:t>
      </w:r>
    </w:p>
    <w:p w:rsidR="006B473D" w:rsidRPr="00B40169" w:rsidRDefault="006B473D" w:rsidP="006B473D">
      <w:pPr>
        <w:pStyle w:val="tl1"/>
        <w:numPr>
          <w:ilvl w:val="2"/>
          <w:numId w:val="7"/>
        </w:numPr>
        <w:tabs>
          <w:tab w:val="left" w:pos="567"/>
        </w:tabs>
        <w:jc w:val="both"/>
        <w:rPr>
          <w:rFonts w:ascii="Times New Roman" w:hAnsi="Times New Roman"/>
          <w:sz w:val="24"/>
        </w:rPr>
      </w:pPr>
      <w:r>
        <w:rPr>
          <w:rFonts w:ascii="Times New Roman" w:hAnsi="Times New Roman"/>
          <w:sz w:val="24"/>
        </w:rPr>
        <w:t>Poskytovateľ</w:t>
      </w:r>
      <w:r w:rsidRPr="000F40B6">
        <w:rPr>
          <w:rFonts w:ascii="Times New Roman" w:hAnsi="Times New Roman"/>
          <w:sz w:val="24"/>
        </w:rPr>
        <w:t xml:space="preserve"> je povinný oznámiť objednávateľovi bezodkladne akúkoľvek zmenu údajov o subd</w:t>
      </w:r>
      <w:r w:rsidRPr="00B40169">
        <w:rPr>
          <w:rFonts w:ascii="Times New Roman" w:hAnsi="Times New Roman"/>
          <w:sz w:val="24"/>
        </w:rPr>
        <w:t>odávateľovi.</w:t>
      </w:r>
    </w:p>
    <w:p w:rsidR="006B473D" w:rsidRPr="003F23B8" w:rsidRDefault="006B473D" w:rsidP="006B473D">
      <w:pPr>
        <w:pStyle w:val="tl1"/>
        <w:numPr>
          <w:ilvl w:val="2"/>
          <w:numId w:val="7"/>
        </w:numPr>
        <w:jc w:val="both"/>
        <w:rPr>
          <w:rFonts w:ascii="Times New Roman" w:hAnsi="Times New Roman"/>
          <w:sz w:val="24"/>
        </w:rPr>
      </w:pPr>
      <w:r>
        <w:rPr>
          <w:rFonts w:ascii="Times New Roman" w:hAnsi="Times New Roman"/>
          <w:sz w:val="24"/>
        </w:rPr>
        <w:t xml:space="preserve"> Poskytovateľ</w:t>
      </w:r>
      <w:r w:rsidRPr="003F23B8">
        <w:rPr>
          <w:rFonts w:ascii="Times New Roman" w:hAnsi="Times New Roman"/>
          <w:sz w:val="24"/>
        </w:rPr>
        <w:t xml:space="preserve"> je povinný písomne predložiť </w:t>
      </w:r>
      <w:r>
        <w:rPr>
          <w:rFonts w:ascii="Times New Roman" w:hAnsi="Times New Roman"/>
          <w:sz w:val="24"/>
        </w:rPr>
        <w:t xml:space="preserve">objednávateľovi na </w:t>
      </w:r>
      <w:r w:rsidRPr="003F23B8">
        <w:rPr>
          <w:rFonts w:ascii="Times New Roman" w:hAnsi="Times New Roman"/>
          <w:sz w:val="24"/>
        </w:rPr>
        <w:t>odsúhlasenie každého subdodávateľa.</w:t>
      </w:r>
    </w:p>
    <w:p w:rsidR="006B473D" w:rsidRDefault="006B473D" w:rsidP="006B473D">
      <w:pPr>
        <w:pStyle w:val="tl1"/>
        <w:numPr>
          <w:ilvl w:val="0"/>
          <w:numId w:val="0"/>
        </w:numPr>
        <w:jc w:val="both"/>
        <w:rPr>
          <w:rFonts w:ascii="Times New Roman" w:hAnsi="Times New Roman"/>
          <w:color w:val="000000"/>
          <w:sz w:val="22"/>
          <w:szCs w:val="22"/>
        </w:rPr>
      </w:pPr>
    </w:p>
    <w:p w:rsidR="006B473D" w:rsidRDefault="006B473D" w:rsidP="006B473D">
      <w:pPr>
        <w:pStyle w:val="tl1"/>
        <w:numPr>
          <w:ilvl w:val="0"/>
          <w:numId w:val="12"/>
        </w:numPr>
        <w:rPr>
          <w:rFonts w:ascii="Times New Roman" w:hAnsi="Times New Roman"/>
          <w:color w:val="000000"/>
          <w:sz w:val="22"/>
          <w:szCs w:val="22"/>
        </w:rPr>
      </w:pPr>
    </w:p>
    <w:p w:rsidR="006B473D" w:rsidRPr="006F50E3" w:rsidRDefault="006B473D" w:rsidP="006B473D">
      <w:pPr>
        <w:pStyle w:val="tl1"/>
        <w:numPr>
          <w:ilvl w:val="0"/>
          <w:numId w:val="0"/>
        </w:numPr>
        <w:rPr>
          <w:rFonts w:ascii="Times New Roman" w:hAnsi="Times New Roman"/>
          <w:b/>
          <w:bCs/>
          <w:color w:val="000000"/>
          <w:sz w:val="24"/>
        </w:rPr>
      </w:pPr>
      <w:r w:rsidRPr="006F50E3">
        <w:rPr>
          <w:rFonts w:ascii="Times New Roman" w:hAnsi="Times New Roman"/>
          <w:b/>
          <w:bCs/>
          <w:color w:val="000000"/>
          <w:sz w:val="24"/>
        </w:rPr>
        <w:t>Cena</w:t>
      </w:r>
    </w:p>
    <w:p w:rsidR="006B473D" w:rsidRPr="00A55599" w:rsidRDefault="006B473D" w:rsidP="006B473D">
      <w:pPr>
        <w:pStyle w:val="tl1"/>
        <w:numPr>
          <w:ilvl w:val="1"/>
          <w:numId w:val="4"/>
        </w:numPr>
        <w:jc w:val="both"/>
        <w:rPr>
          <w:rFonts w:ascii="Times New Roman" w:hAnsi="Times New Roman"/>
          <w:color w:val="000000"/>
          <w:sz w:val="24"/>
        </w:rPr>
      </w:pPr>
      <w:r w:rsidRPr="00A55599">
        <w:rPr>
          <w:rFonts w:ascii="Times New Roman" w:hAnsi="Times New Roman"/>
          <w:sz w:val="24"/>
        </w:rPr>
        <w:t>Cena predmetu zmluvy je medzi zmluvnými stranami dohodnutá podľa zákona NR SR č. 18/</w:t>
      </w:r>
      <w:r>
        <w:rPr>
          <w:rFonts w:ascii="Times New Roman" w:hAnsi="Times New Roman"/>
          <w:sz w:val="24"/>
        </w:rPr>
        <w:t>19</w:t>
      </w:r>
      <w:r w:rsidRPr="00A55599">
        <w:rPr>
          <w:rFonts w:ascii="Times New Roman" w:hAnsi="Times New Roman"/>
          <w:sz w:val="24"/>
        </w:rPr>
        <w:t>96 Z.z. o cenách v znení neskorších predpisov.</w:t>
      </w:r>
    </w:p>
    <w:p w:rsidR="006B473D" w:rsidRPr="00A55599" w:rsidRDefault="006B473D" w:rsidP="006B473D">
      <w:pPr>
        <w:pStyle w:val="tl1"/>
        <w:numPr>
          <w:ilvl w:val="0"/>
          <w:numId w:val="0"/>
        </w:numPr>
        <w:ind w:left="360"/>
        <w:jc w:val="both"/>
        <w:rPr>
          <w:rFonts w:ascii="Times New Roman" w:hAnsi="Times New Roman"/>
          <w:color w:val="000000"/>
          <w:sz w:val="24"/>
        </w:rPr>
      </w:pPr>
    </w:p>
    <w:p w:rsidR="006B473D" w:rsidRPr="00A55599" w:rsidRDefault="006B473D" w:rsidP="006B473D">
      <w:pPr>
        <w:pStyle w:val="tl1"/>
        <w:numPr>
          <w:ilvl w:val="1"/>
          <w:numId w:val="4"/>
        </w:numPr>
        <w:jc w:val="both"/>
        <w:rPr>
          <w:rFonts w:ascii="Times New Roman" w:hAnsi="Times New Roman"/>
          <w:color w:val="000000"/>
          <w:sz w:val="24"/>
        </w:rPr>
      </w:pPr>
      <w:r w:rsidRPr="00A55599">
        <w:rPr>
          <w:rFonts w:ascii="Times New Roman" w:hAnsi="Times New Roman"/>
          <w:sz w:val="24"/>
        </w:rPr>
        <w:t>Cena predmetu zmluvy  je uvedená v </w:t>
      </w:r>
      <w:r>
        <w:rPr>
          <w:rFonts w:ascii="Times New Roman" w:hAnsi="Times New Roman"/>
          <w:sz w:val="24"/>
        </w:rPr>
        <w:t>prílohe</w:t>
      </w:r>
      <w:r w:rsidRPr="00A55599">
        <w:rPr>
          <w:rFonts w:ascii="Times New Roman" w:hAnsi="Times New Roman"/>
          <w:sz w:val="24"/>
        </w:rPr>
        <w:t xml:space="preserve"> č. 2 tejto </w:t>
      </w:r>
      <w:r>
        <w:rPr>
          <w:rFonts w:ascii="Times New Roman" w:hAnsi="Times New Roman"/>
          <w:sz w:val="24"/>
        </w:rPr>
        <w:t>zmluvy</w:t>
      </w:r>
      <w:r w:rsidRPr="00A55599">
        <w:rPr>
          <w:rFonts w:ascii="Times New Roman" w:hAnsi="Times New Roman"/>
          <w:sz w:val="24"/>
        </w:rPr>
        <w:t>. Cena je konečná</w:t>
      </w:r>
      <w:r>
        <w:rPr>
          <w:rFonts w:ascii="Times New Roman" w:hAnsi="Times New Roman"/>
          <w:sz w:val="24"/>
        </w:rPr>
        <w:t xml:space="preserve"> a to vrátane</w:t>
      </w:r>
      <w:r w:rsidRPr="00A55599">
        <w:rPr>
          <w:rFonts w:ascii="Times New Roman" w:hAnsi="Times New Roman"/>
          <w:sz w:val="24"/>
        </w:rPr>
        <w:t xml:space="preserve"> odber</w:t>
      </w:r>
      <w:r>
        <w:rPr>
          <w:rFonts w:ascii="Times New Roman" w:hAnsi="Times New Roman"/>
          <w:sz w:val="24"/>
        </w:rPr>
        <w:t>u</w:t>
      </w:r>
      <w:r w:rsidRPr="00A55599">
        <w:rPr>
          <w:rFonts w:ascii="Times New Roman" w:hAnsi="Times New Roman"/>
          <w:sz w:val="24"/>
        </w:rPr>
        <w:t>, preprav</w:t>
      </w:r>
      <w:r>
        <w:rPr>
          <w:rFonts w:ascii="Times New Roman" w:hAnsi="Times New Roman"/>
          <w:sz w:val="24"/>
        </w:rPr>
        <w:t>y</w:t>
      </w:r>
      <w:r w:rsidRPr="00A55599">
        <w:rPr>
          <w:rFonts w:ascii="Times New Roman" w:hAnsi="Times New Roman"/>
          <w:sz w:val="24"/>
        </w:rPr>
        <w:t xml:space="preserve"> a zneškodneni</w:t>
      </w:r>
      <w:r>
        <w:rPr>
          <w:rFonts w:ascii="Times New Roman" w:hAnsi="Times New Roman"/>
          <w:sz w:val="24"/>
        </w:rPr>
        <w:t>a</w:t>
      </w:r>
      <w:r w:rsidRPr="00A55599">
        <w:rPr>
          <w:rFonts w:ascii="Times New Roman" w:hAnsi="Times New Roman"/>
          <w:sz w:val="24"/>
        </w:rPr>
        <w:t xml:space="preserve"> </w:t>
      </w:r>
      <w:r w:rsidRPr="00EB2D2F">
        <w:rPr>
          <w:rFonts w:ascii="Times New Roman" w:hAnsi="Times New Roman"/>
          <w:sz w:val="24"/>
        </w:rPr>
        <w:t>nebezpečného a ostatného</w:t>
      </w:r>
      <w:r>
        <w:rPr>
          <w:rFonts w:ascii="Times New Roman" w:hAnsi="Times New Roman"/>
          <w:sz w:val="24"/>
        </w:rPr>
        <w:t xml:space="preserve"> </w:t>
      </w:r>
      <w:r w:rsidRPr="00A55599">
        <w:rPr>
          <w:rFonts w:ascii="Times New Roman" w:hAnsi="Times New Roman"/>
          <w:sz w:val="24"/>
        </w:rPr>
        <w:t>odpadu a  všetk</w:t>
      </w:r>
      <w:r>
        <w:rPr>
          <w:rFonts w:ascii="Times New Roman" w:hAnsi="Times New Roman"/>
          <w:sz w:val="24"/>
        </w:rPr>
        <w:t>ých</w:t>
      </w:r>
      <w:r w:rsidRPr="00A55599">
        <w:rPr>
          <w:rFonts w:ascii="Times New Roman" w:hAnsi="Times New Roman"/>
          <w:sz w:val="24"/>
        </w:rPr>
        <w:t xml:space="preserve"> náklad</w:t>
      </w:r>
      <w:r>
        <w:rPr>
          <w:rFonts w:ascii="Times New Roman" w:hAnsi="Times New Roman"/>
          <w:sz w:val="24"/>
        </w:rPr>
        <w:t>ov</w:t>
      </w:r>
      <w:r w:rsidRPr="00A55599">
        <w:rPr>
          <w:rFonts w:ascii="Times New Roman" w:hAnsi="Times New Roman"/>
          <w:sz w:val="24"/>
        </w:rPr>
        <w:t xml:space="preserve"> spojen</w:t>
      </w:r>
      <w:r>
        <w:rPr>
          <w:rFonts w:ascii="Times New Roman" w:hAnsi="Times New Roman"/>
          <w:sz w:val="24"/>
        </w:rPr>
        <w:t>ých</w:t>
      </w:r>
      <w:r w:rsidRPr="00A55599">
        <w:rPr>
          <w:rFonts w:ascii="Times New Roman" w:hAnsi="Times New Roman"/>
          <w:sz w:val="24"/>
        </w:rPr>
        <w:t xml:space="preserve"> s realizáciou predmetu zákazky.</w:t>
      </w:r>
    </w:p>
    <w:p w:rsidR="006B473D" w:rsidRPr="00DD607B" w:rsidRDefault="006B473D" w:rsidP="006B473D">
      <w:pPr>
        <w:pStyle w:val="tl1"/>
        <w:numPr>
          <w:ilvl w:val="0"/>
          <w:numId w:val="0"/>
        </w:numPr>
        <w:ind w:left="360"/>
        <w:jc w:val="both"/>
        <w:rPr>
          <w:rFonts w:ascii="Times New Roman" w:hAnsi="Times New Roman"/>
          <w:color w:val="000000"/>
          <w:sz w:val="24"/>
          <w:highlight w:val="lightGray"/>
        </w:rPr>
      </w:pPr>
    </w:p>
    <w:p w:rsidR="006B473D" w:rsidRDefault="006B473D" w:rsidP="006B473D">
      <w:pPr>
        <w:pStyle w:val="tl1"/>
        <w:numPr>
          <w:ilvl w:val="0"/>
          <w:numId w:val="12"/>
        </w:numPr>
        <w:rPr>
          <w:rFonts w:ascii="Times New Roman" w:hAnsi="Times New Roman"/>
          <w:b/>
          <w:bCs/>
          <w:color w:val="000000"/>
          <w:sz w:val="24"/>
        </w:rPr>
      </w:pPr>
    </w:p>
    <w:p w:rsidR="006B473D" w:rsidRPr="006F50E3" w:rsidRDefault="006B473D" w:rsidP="006B473D">
      <w:pPr>
        <w:pStyle w:val="tl1"/>
        <w:numPr>
          <w:ilvl w:val="0"/>
          <w:numId w:val="0"/>
        </w:numPr>
        <w:ind w:left="360" w:hanging="360"/>
        <w:rPr>
          <w:rFonts w:ascii="Times New Roman" w:hAnsi="Times New Roman"/>
          <w:b/>
          <w:bCs/>
          <w:color w:val="000000"/>
          <w:sz w:val="24"/>
        </w:rPr>
      </w:pPr>
      <w:r w:rsidRPr="006F50E3">
        <w:rPr>
          <w:rFonts w:ascii="Times New Roman" w:hAnsi="Times New Roman"/>
          <w:b/>
          <w:bCs/>
          <w:color w:val="000000"/>
          <w:sz w:val="24"/>
        </w:rPr>
        <w:t>Platobné podmienky a podmienky úpravy ceny</w:t>
      </w:r>
    </w:p>
    <w:p w:rsidR="006B473D" w:rsidRDefault="006B473D" w:rsidP="006B473D">
      <w:pPr>
        <w:pStyle w:val="tl1"/>
        <w:numPr>
          <w:ilvl w:val="1"/>
          <w:numId w:val="6"/>
        </w:numPr>
        <w:ind w:left="340" w:hanging="340"/>
        <w:jc w:val="both"/>
        <w:rPr>
          <w:rFonts w:ascii="Times New Roman" w:hAnsi="Times New Roman"/>
          <w:sz w:val="24"/>
        </w:rPr>
      </w:pPr>
      <w:r w:rsidRPr="00DD607B">
        <w:rPr>
          <w:rFonts w:ascii="Times New Roman" w:hAnsi="Times New Roman"/>
          <w:sz w:val="24"/>
        </w:rPr>
        <w:t xml:space="preserve">Objednávateľ neposkytuje preddavky na poskytovanie služieb predmetu zmluvy. </w:t>
      </w:r>
    </w:p>
    <w:p w:rsidR="006B473D" w:rsidRPr="00DD607B" w:rsidRDefault="006B473D" w:rsidP="006B473D">
      <w:pPr>
        <w:pStyle w:val="tl1"/>
        <w:numPr>
          <w:ilvl w:val="0"/>
          <w:numId w:val="0"/>
        </w:numPr>
        <w:ind w:left="340"/>
        <w:jc w:val="both"/>
        <w:rPr>
          <w:rFonts w:ascii="Times New Roman" w:hAnsi="Times New Roman"/>
          <w:sz w:val="24"/>
        </w:rPr>
      </w:pPr>
    </w:p>
    <w:p w:rsidR="006B473D" w:rsidRDefault="006B473D" w:rsidP="006B473D">
      <w:pPr>
        <w:pStyle w:val="tl1"/>
        <w:numPr>
          <w:ilvl w:val="1"/>
          <w:numId w:val="6"/>
        </w:numPr>
        <w:ind w:left="340" w:hanging="340"/>
        <w:jc w:val="both"/>
        <w:rPr>
          <w:rFonts w:ascii="Times New Roman" w:hAnsi="Times New Roman"/>
          <w:sz w:val="24"/>
        </w:rPr>
      </w:pPr>
      <w:r>
        <w:rPr>
          <w:rFonts w:ascii="Times New Roman" w:hAnsi="Times New Roman"/>
          <w:sz w:val="24"/>
        </w:rPr>
        <w:t>Poskytovateľ</w:t>
      </w:r>
      <w:r w:rsidRPr="00DD607B">
        <w:rPr>
          <w:rFonts w:ascii="Times New Roman" w:hAnsi="Times New Roman"/>
          <w:sz w:val="24"/>
        </w:rPr>
        <w:t xml:space="preserve"> bude skutočne realizované plnenie predmetu zmluvy účtovať daňovým dokladom – faktúrou. Po realizácii plnenia predmetu zmluvy vystaví </w:t>
      </w:r>
      <w:r>
        <w:rPr>
          <w:rFonts w:ascii="Times New Roman" w:hAnsi="Times New Roman"/>
          <w:sz w:val="24"/>
        </w:rPr>
        <w:t>poskytovateľ</w:t>
      </w:r>
      <w:r w:rsidRPr="00DD607B">
        <w:rPr>
          <w:rFonts w:ascii="Times New Roman" w:hAnsi="Times New Roman"/>
          <w:sz w:val="24"/>
        </w:rPr>
        <w:t xml:space="preserve"> objednávateľovi faktúru a to pre každý odber, prepravu a zneškodňovanie nebezpečného odpadu samostatne. Podkladom na vystavenie faktúry je potvrdený Sprievodný list nebezpečných odpadov, doklad o skutočnej váhe zneškodňovaného nebezpečného odpadu, príp. ďalšie potvrdené doklady, ktoré bude potrebné vystaviť pri nakladaní s odpadmi v súlade s platnými zákonnými predpismi v odpadovom hospodárstve.  </w:t>
      </w:r>
    </w:p>
    <w:p w:rsidR="006B473D" w:rsidRDefault="006B473D" w:rsidP="006B473D">
      <w:pPr>
        <w:pStyle w:val="tl1"/>
        <w:numPr>
          <w:ilvl w:val="0"/>
          <w:numId w:val="0"/>
        </w:numPr>
        <w:ind w:left="340"/>
        <w:jc w:val="both"/>
        <w:rPr>
          <w:rFonts w:ascii="Times New Roman" w:hAnsi="Times New Roman"/>
          <w:sz w:val="24"/>
        </w:rPr>
      </w:pPr>
    </w:p>
    <w:p w:rsidR="006B473D" w:rsidRDefault="006B473D" w:rsidP="006B473D">
      <w:pPr>
        <w:pStyle w:val="tl1"/>
        <w:numPr>
          <w:ilvl w:val="1"/>
          <w:numId w:val="6"/>
        </w:numPr>
        <w:ind w:left="340" w:hanging="340"/>
        <w:jc w:val="both"/>
        <w:rPr>
          <w:rFonts w:ascii="Times New Roman" w:hAnsi="Times New Roman"/>
          <w:sz w:val="24"/>
        </w:rPr>
      </w:pPr>
      <w:r>
        <w:rPr>
          <w:rFonts w:ascii="Times New Roman" w:hAnsi="Times New Roman"/>
          <w:sz w:val="24"/>
        </w:rPr>
        <w:t xml:space="preserve">Lehota splatnosti faktúr je </w:t>
      </w:r>
      <w:r w:rsidRPr="0026741B">
        <w:rPr>
          <w:rFonts w:ascii="Times New Roman" w:hAnsi="Times New Roman"/>
          <w:sz w:val="24"/>
        </w:rPr>
        <w:t xml:space="preserve">60 dní od doručenia faktúry objednávateľovi. </w:t>
      </w:r>
    </w:p>
    <w:p w:rsidR="006B473D" w:rsidRDefault="006B473D" w:rsidP="006B473D">
      <w:pPr>
        <w:pStyle w:val="Odsekzoznamu"/>
      </w:pPr>
    </w:p>
    <w:p w:rsidR="006B473D" w:rsidRPr="0026741B" w:rsidRDefault="006B473D" w:rsidP="006B473D">
      <w:pPr>
        <w:pStyle w:val="tl1"/>
        <w:numPr>
          <w:ilvl w:val="1"/>
          <w:numId w:val="6"/>
        </w:numPr>
        <w:ind w:left="340" w:hanging="340"/>
        <w:jc w:val="both"/>
        <w:rPr>
          <w:rFonts w:ascii="Times New Roman" w:hAnsi="Times New Roman"/>
          <w:sz w:val="24"/>
        </w:rPr>
      </w:pPr>
      <w:r>
        <w:rPr>
          <w:rFonts w:ascii="Times New Roman" w:hAnsi="Times New Roman"/>
          <w:sz w:val="24"/>
        </w:rPr>
        <w:t>Konečnú celkovú cenu za jednotlivé plnenia uvedené na faktúre je možné zaokrúhliť matematicky na dve desatinné čísla.</w:t>
      </w:r>
    </w:p>
    <w:p w:rsidR="006B473D" w:rsidRPr="0026741B" w:rsidRDefault="006B473D" w:rsidP="006B473D">
      <w:pPr>
        <w:pStyle w:val="tl1"/>
        <w:numPr>
          <w:ilvl w:val="0"/>
          <w:numId w:val="0"/>
        </w:numPr>
        <w:ind w:left="340"/>
        <w:jc w:val="both"/>
        <w:rPr>
          <w:rFonts w:ascii="Times New Roman" w:hAnsi="Times New Roman"/>
          <w:sz w:val="24"/>
        </w:rPr>
      </w:pPr>
    </w:p>
    <w:p w:rsidR="006B473D" w:rsidRPr="00DD607B" w:rsidRDefault="006B473D" w:rsidP="006B473D">
      <w:pPr>
        <w:pStyle w:val="tl1"/>
        <w:numPr>
          <w:ilvl w:val="1"/>
          <w:numId w:val="6"/>
        </w:numPr>
        <w:ind w:left="340" w:hanging="340"/>
        <w:jc w:val="both"/>
        <w:rPr>
          <w:rFonts w:ascii="Times New Roman" w:hAnsi="Times New Roman"/>
          <w:sz w:val="24"/>
        </w:rPr>
      </w:pPr>
      <w:r w:rsidRPr="00DD607B">
        <w:rPr>
          <w:rFonts w:ascii="Times New Roman" w:hAnsi="Times New Roman"/>
          <w:sz w:val="24"/>
        </w:rPr>
        <w:t>Dohodnutú cenu predmetu zmluvy je možné počas platnosti tejto zmluvy meniť len za predpokladu, že došlo k legislatívnym zmenám, ktoré v čase spracovania ponuky nebolo možné predpokladať. V takomto prípade sa cena zmení oznámením objednávateľa o zmene ceny v dôsledku legislatívnych zmien (napr. zmena výšky DPH), bez uzatvárania dodatku k zmluve.</w:t>
      </w:r>
    </w:p>
    <w:p w:rsidR="006B473D" w:rsidRPr="0026741B" w:rsidRDefault="006B473D" w:rsidP="006B473D">
      <w:pPr>
        <w:pStyle w:val="tl1"/>
        <w:numPr>
          <w:ilvl w:val="0"/>
          <w:numId w:val="0"/>
        </w:numPr>
        <w:ind w:left="360" w:hanging="360"/>
        <w:rPr>
          <w:rFonts w:ascii="Times New Roman" w:hAnsi="Times New Roman"/>
          <w:bCs/>
          <w:sz w:val="24"/>
        </w:rPr>
      </w:pPr>
    </w:p>
    <w:p w:rsidR="006B473D" w:rsidRDefault="006B473D" w:rsidP="006B473D">
      <w:pPr>
        <w:numPr>
          <w:ilvl w:val="0"/>
          <w:numId w:val="12"/>
        </w:numPr>
        <w:jc w:val="center"/>
        <w:rPr>
          <w:b/>
          <w:szCs w:val="22"/>
        </w:rPr>
      </w:pPr>
    </w:p>
    <w:p w:rsidR="006B473D" w:rsidRPr="008A352B" w:rsidRDefault="006B473D" w:rsidP="006B473D">
      <w:pPr>
        <w:jc w:val="center"/>
        <w:rPr>
          <w:b/>
          <w:szCs w:val="22"/>
        </w:rPr>
      </w:pPr>
      <w:r w:rsidRPr="008A352B">
        <w:rPr>
          <w:b/>
          <w:szCs w:val="22"/>
        </w:rPr>
        <w:t>Zodpovednosť</w:t>
      </w:r>
    </w:p>
    <w:p w:rsidR="006B473D" w:rsidRPr="008A352B" w:rsidRDefault="006B473D" w:rsidP="006B473D">
      <w:pPr>
        <w:pStyle w:val="tl1"/>
        <w:numPr>
          <w:ilvl w:val="1"/>
          <w:numId w:val="2"/>
        </w:numPr>
        <w:ind w:left="340" w:hanging="340"/>
        <w:jc w:val="both"/>
        <w:rPr>
          <w:rFonts w:ascii="Times New Roman" w:hAnsi="Times New Roman"/>
          <w:sz w:val="24"/>
        </w:rPr>
      </w:pPr>
      <w:r w:rsidRPr="008A352B">
        <w:rPr>
          <w:rFonts w:ascii="Times New Roman" w:hAnsi="Times New Roman"/>
          <w:sz w:val="24"/>
        </w:rPr>
        <w:t>Prevzatím nebezpečného odpadu</w:t>
      </w:r>
      <w:r>
        <w:rPr>
          <w:rFonts w:ascii="Times New Roman" w:hAnsi="Times New Roman"/>
          <w:sz w:val="24"/>
        </w:rPr>
        <w:t xml:space="preserve"> a ostatného odpadu</w:t>
      </w:r>
      <w:r w:rsidRPr="008A352B">
        <w:rPr>
          <w:rFonts w:ascii="Times New Roman" w:hAnsi="Times New Roman"/>
          <w:sz w:val="24"/>
        </w:rPr>
        <w:t xml:space="preserve"> preberá </w:t>
      </w:r>
      <w:r>
        <w:rPr>
          <w:rFonts w:ascii="Times New Roman" w:hAnsi="Times New Roman"/>
          <w:sz w:val="24"/>
        </w:rPr>
        <w:t>poskytovateľ</w:t>
      </w:r>
      <w:r w:rsidRPr="008A352B">
        <w:rPr>
          <w:rFonts w:ascii="Times New Roman" w:hAnsi="Times New Roman"/>
          <w:sz w:val="24"/>
        </w:rPr>
        <w:t xml:space="preserve"> všetku zodpovednosť za ďalšie nakladanie s </w:t>
      </w:r>
      <w:r>
        <w:rPr>
          <w:rFonts w:ascii="Times New Roman" w:hAnsi="Times New Roman"/>
          <w:sz w:val="24"/>
        </w:rPr>
        <w:t>ním</w:t>
      </w:r>
      <w:r w:rsidRPr="008A352B">
        <w:rPr>
          <w:rFonts w:ascii="Times New Roman" w:hAnsi="Times New Roman"/>
          <w:sz w:val="24"/>
        </w:rPr>
        <w:t xml:space="preserve">. </w:t>
      </w:r>
    </w:p>
    <w:p w:rsidR="006B473D" w:rsidRDefault="006B473D" w:rsidP="006B473D">
      <w:pPr>
        <w:pStyle w:val="tl1"/>
        <w:numPr>
          <w:ilvl w:val="0"/>
          <w:numId w:val="0"/>
        </w:numPr>
        <w:ind w:left="360" w:hanging="360"/>
        <w:rPr>
          <w:rFonts w:ascii="Times New Roman" w:hAnsi="Times New Roman"/>
          <w:sz w:val="24"/>
        </w:rPr>
      </w:pPr>
    </w:p>
    <w:p w:rsidR="006B473D" w:rsidRDefault="006B473D" w:rsidP="006B473D">
      <w:pPr>
        <w:pStyle w:val="tl1"/>
        <w:numPr>
          <w:ilvl w:val="0"/>
          <w:numId w:val="12"/>
        </w:numPr>
        <w:rPr>
          <w:rFonts w:ascii="Times New Roman" w:hAnsi="Times New Roman"/>
          <w:b/>
          <w:bCs/>
          <w:sz w:val="24"/>
        </w:rPr>
      </w:pPr>
    </w:p>
    <w:p w:rsidR="006B473D" w:rsidRPr="0083717C" w:rsidRDefault="006B473D" w:rsidP="006B473D">
      <w:pPr>
        <w:pStyle w:val="tl1"/>
        <w:numPr>
          <w:ilvl w:val="0"/>
          <w:numId w:val="0"/>
        </w:numPr>
        <w:ind w:left="360" w:hanging="360"/>
        <w:rPr>
          <w:rFonts w:ascii="Times New Roman" w:hAnsi="Times New Roman"/>
          <w:b/>
          <w:bCs/>
          <w:sz w:val="24"/>
        </w:rPr>
      </w:pPr>
      <w:r w:rsidRPr="0083717C">
        <w:rPr>
          <w:rFonts w:ascii="Times New Roman" w:hAnsi="Times New Roman"/>
          <w:b/>
          <w:bCs/>
          <w:sz w:val="24"/>
        </w:rPr>
        <w:t>Sankcie a zmluvné pokuty</w:t>
      </w:r>
    </w:p>
    <w:p w:rsidR="006B473D" w:rsidRDefault="006B473D" w:rsidP="006B473D">
      <w:pPr>
        <w:pStyle w:val="tl1"/>
        <w:numPr>
          <w:ilvl w:val="1"/>
          <w:numId w:val="3"/>
        </w:numPr>
        <w:jc w:val="both"/>
        <w:rPr>
          <w:rFonts w:ascii="Times New Roman" w:hAnsi="Times New Roman"/>
          <w:sz w:val="24"/>
        </w:rPr>
      </w:pPr>
      <w:r>
        <w:rPr>
          <w:rFonts w:ascii="Times New Roman" w:hAnsi="Times New Roman"/>
          <w:sz w:val="24"/>
        </w:rPr>
        <w:t>Poskytovateľ</w:t>
      </w:r>
      <w:r w:rsidRPr="0083717C">
        <w:rPr>
          <w:rFonts w:ascii="Times New Roman" w:hAnsi="Times New Roman"/>
          <w:sz w:val="24"/>
        </w:rPr>
        <w:t xml:space="preserve"> je oprávnený</w:t>
      </w:r>
      <w:r>
        <w:rPr>
          <w:rFonts w:ascii="Times New Roman" w:hAnsi="Times New Roman"/>
          <w:sz w:val="24"/>
        </w:rPr>
        <w:t>,</w:t>
      </w:r>
      <w:r w:rsidRPr="0083717C">
        <w:rPr>
          <w:rFonts w:ascii="Times New Roman" w:hAnsi="Times New Roman"/>
          <w:sz w:val="24"/>
        </w:rPr>
        <w:t xml:space="preserve"> v prípade omeškania sa </w:t>
      </w:r>
      <w:r>
        <w:rPr>
          <w:rFonts w:ascii="Times New Roman" w:hAnsi="Times New Roman"/>
          <w:sz w:val="24"/>
        </w:rPr>
        <w:t>objednávateľa</w:t>
      </w:r>
      <w:r w:rsidRPr="0083717C">
        <w:rPr>
          <w:rFonts w:ascii="Times New Roman" w:hAnsi="Times New Roman"/>
          <w:sz w:val="24"/>
        </w:rPr>
        <w:t xml:space="preserve"> </w:t>
      </w:r>
      <w:r>
        <w:rPr>
          <w:rFonts w:ascii="Times New Roman" w:hAnsi="Times New Roman"/>
          <w:sz w:val="24"/>
        </w:rPr>
        <w:t>so splnení peňažného záväzku alebo jeho časti</w:t>
      </w:r>
      <w:r w:rsidRPr="0083717C">
        <w:rPr>
          <w:rFonts w:ascii="Times New Roman" w:hAnsi="Times New Roman"/>
          <w:sz w:val="24"/>
        </w:rPr>
        <w:t xml:space="preserve">, účtovať </w:t>
      </w:r>
      <w:r>
        <w:rPr>
          <w:rFonts w:ascii="Times New Roman" w:hAnsi="Times New Roman"/>
          <w:sz w:val="24"/>
        </w:rPr>
        <w:t xml:space="preserve">si </w:t>
      </w:r>
      <w:r w:rsidRPr="0083717C">
        <w:rPr>
          <w:rFonts w:ascii="Times New Roman" w:hAnsi="Times New Roman"/>
          <w:sz w:val="24"/>
        </w:rPr>
        <w:t>úrok z omeškania vo výške podľa ustanovenia § 369</w:t>
      </w:r>
      <w:r>
        <w:rPr>
          <w:rFonts w:ascii="Times New Roman" w:hAnsi="Times New Roman"/>
          <w:sz w:val="24"/>
        </w:rPr>
        <w:t xml:space="preserve"> ods. 2 zákona č. 513/1991 Zb.</w:t>
      </w:r>
      <w:r w:rsidRPr="0083717C">
        <w:rPr>
          <w:rFonts w:ascii="Times New Roman" w:hAnsi="Times New Roman"/>
          <w:sz w:val="24"/>
        </w:rPr>
        <w:t xml:space="preserve"> Obchodného zákonníka</w:t>
      </w:r>
      <w:r>
        <w:rPr>
          <w:rFonts w:ascii="Times New Roman" w:hAnsi="Times New Roman"/>
          <w:sz w:val="24"/>
        </w:rPr>
        <w:t xml:space="preserve"> v znení neskorších zmien a doplnení</w:t>
      </w:r>
      <w:r w:rsidRPr="00CB61BC">
        <w:rPr>
          <w:rFonts w:ascii="Times New Roman" w:hAnsi="Times New Roman"/>
          <w:sz w:val="24"/>
        </w:rPr>
        <w:t>,v spojení s § 1 ods. 1 a 3 nar. vlády SR č. 21/2013 Z.z., ktorým sa vykonávajú niektoré ustanovenia Obchodného zákonníka</w:t>
      </w:r>
    </w:p>
    <w:p w:rsidR="006B473D" w:rsidRPr="0083717C" w:rsidRDefault="006B473D" w:rsidP="006B473D">
      <w:pPr>
        <w:pStyle w:val="tl1"/>
        <w:numPr>
          <w:ilvl w:val="0"/>
          <w:numId w:val="0"/>
        </w:numPr>
        <w:ind w:left="360"/>
        <w:jc w:val="both"/>
        <w:rPr>
          <w:rFonts w:ascii="Times New Roman" w:hAnsi="Times New Roman"/>
          <w:sz w:val="24"/>
        </w:rPr>
      </w:pPr>
    </w:p>
    <w:p w:rsidR="006B473D" w:rsidRPr="00CB61BC" w:rsidRDefault="006B473D" w:rsidP="006B473D">
      <w:pPr>
        <w:pStyle w:val="tl1"/>
        <w:numPr>
          <w:ilvl w:val="1"/>
          <w:numId w:val="3"/>
        </w:numPr>
        <w:jc w:val="both"/>
        <w:rPr>
          <w:rFonts w:ascii="Times New Roman" w:hAnsi="Times New Roman"/>
          <w:sz w:val="24"/>
        </w:rPr>
      </w:pPr>
      <w:r>
        <w:rPr>
          <w:rFonts w:ascii="Times New Roman" w:hAnsi="Times New Roman"/>
          <w:sz w:val="24"/>
        </w:rPr>
        <w:t>Objednávateľ</w:t>
      </w:r>
      <w:r w:rsidRPr="0083717C">
        <w:rPr>
          <w:rFonts w:ascii="Times New Roman" w:hAnsi="Times New Roman"/>
          <w:sz w:val="24"/>
        </w:rPr>
        <w:t xml:space="preserve"> je oprávnený uplatniť si zmluvnú pokutu vo výške 0,05% z ceny predmetu zmluvy za každý deň omeškania v prípade, že </w:t>
      </w:r>
      <w:r>
        <w:rPr>
          <w:rFonts w:ascii="Times New Roman" w:hAnsi="Times New Roman"/>
          <w:sz w:val="24"/>
        </w:rPr>
        <w:t>poskytovateľ</w:t>
      </w:r>
      <w:r w:rsidRPr="0083717C">
        <w:rPr>
          <w:rFonts w:ascii="Times New Roman" w:hAnsi="Times New Roman"/>
          <w:sz w:val="24"/>
        </w:rPr>
        <w:t xml:space="preserve"> nedodrží zmluvne dohodnutú lehotu </w:t>
      </w:r>
      <w:r>
        <w:rPr>
          <w:rFonts w:ascii="Times New Roman" w:hAnsi="Times New Roman"/>
          <w:sz w:val="24"/>
        </w:rPr>
        <w:t>poskytnutia služieb predmetu zmluvy</w:t>
      </w:r>
      <w:r w:rsidRPr="0083717C">
        <w:rPr>
          <w:rFonts w:ascii="Times New Roman" w:hAnsi="Times New Roman"/>
          <w:sz w:val="24"/>
        </w:rPr>
        <w:t>.</w:t>
      </w:r>
      <w:r>
        <w:rPr>
          <w:rFonts w:ascii="Times New Roman" w:hAnsi="Times New Roman"/>
          <w:sz w:val="24"/>
        </w:rPr>
        <w:t xml:space="preserve"> </w:t>
      </w:r>
      <w:r w:rsidRPr="00CB61BC">
        <w:rPr>
          <w:rFonts w:ascii="Times New Roman" w:hAnsi="Times New Roman"/>
          <w:sz w:val="24"/>
          <w:szCs w:val="22"/>
        </w:rPr>
        <w:t xml:space="preserve">Tým nie je dotknuté právo objednávateľa na náhradu škody, ktorá mu vznikla nedodržaním dohodnutého termínu  plnenia. </w:t>
      </w:r>
    </w:p>
    <w:p w:rsidR="006B473D" w:rsidRPr="0083717C" w:rsidRDefault="006B473D" w:rsidP="006B473D">
      <w:pPr>
        <w:pStyle w:val="tl1"/>
        <w:numPr>
          <w:ilvl w:val="0"/>
          <w:numId w:val="0"/>
        </w:numPr>
        <w:ind w:left="360"/>
        <w:jc w:val="both"/>
        <w:rPr>
          <w:rFonts w:ascii="Times New Roman" w:hAnsi="Times New Roman"/>
          <w:sz w:val="24"/>
        </w:rPr>
      </w:pPr>
    </w:p>
    <w:p w:rsidR="006B473D" w:rsidRPr="0083717C" w:rsidRDefault="006B473D" w:rsidP="006B473D">
      <w:pPr>
        <w:pStyle w:val="tl1"/>
        <w:numPr>
          <w:ilvl w:val="1"/>
          <w:numId w:val="3"/>
        </w:numPr>
        <w:jc w:val="both"/>
        <w:rPr>
          <w:rFonts w:ascii="Times New Roman" w:hAnsi="Times New Roman"/>
          <w:sz w:val="24"/>
        </w:rPr>
      </w:pPr>
      <w:r>
        <w:rPr>
          <w:rFonts w:ascii="Times New Roman" w:hAnsi="Times New Roman"/>
          <w:sz w:val="24"/>
        </w:rPr>
        <w:t>Poskytovateľ</w:t>
      </w:r>
      <w:r w:rsidRPr="0083717C">
        <w:rPr>
          <w:rFonts w:ascii="Times New Roman" w:hAnsi="Times New Roman"/>
          <w:sz w:val="24"/>
        </w:rPr>
        <w:t xml:space="preserve"> sa zaväzuje, že si voči </w:t>
      </w:r>
      <w:r>
        <w:rPr>
          <w:rFonts w:ascii="Times New Roman" w:hAnsi="Times New Roman"/>
          <w:sz w:val="24"/>
        </w:rPr>
        <w:t>objednávateľovi</w:t>
      </w:r>
      <w:r w:rsidRPr="0083717C">
        <w:rPr>
          <w:rFonts w:ascii="Times New Roman" w:hAnsi="Times New Roman"/>
          <w:sz w:val="24"/>
        </w:rPr>
        <w:t xml:space="preserve"> nebude nárokovať iné, než vyššie uvedené sankcie.</w:t>
      </w:r>
    </w:p>
    <w:p w:rsidR="006B473D" w:rsidRPr="0083717C" w:rsidRDefault="006B473D" w:rsidP="006B473D">
      <w:pPr>
        <w:pStyle w:val="tl1"/>
        <w:numPr>
          <w:ilvl w:val="0"/>
          <w:numId w:val="0"/>
        </w:numPr>
        <w:ind w:left="360"/>
        <w:jc w:val="both"/>
        <w:rPr>
          <w:rFonts w:ascii="Times New Roman" w:hAnsi="Times New Roman"/>
          <w:sz w:val="24"/>
        </w:rPr>
      </w:pPr>
    </w:p>
    <w:p w:rsidR="006B473D" w:rsidRDefault="006B473D" w:rsidP="006B473D">
      <w:pPr>
        <w:pStyle w:val="tl1"/>
        <w:numPr>
          <w:ilvl w:val="0"/>
          <w:numId w:val="12"/>
        </w:numPr>
        <w:rPr>
          <w:rFonts w:ascii="Times New Roman" w:hAnsi="Times New Roman"/>
          <w:b/>
          <w:sz w:val="24"/>
        </w:rPr>
      </w:pPr>
    </w:p>
    <w:p w:rsidR="006B473D" w:rsidRDefault="006B473D" w:rsidP="006B473D">
      <w:pPr>
        <w:pStyle w:val="tl1"/>
        <w:numPr>
          <w:ilvl w:val="0"/>
          <w:numId w:val="0"/>
        </w:numPr>
        <w:ind w:left="567"/>
        <w:rPr>
          <w:rFonts w:ascii="Times New Roman" w:hAnsi="Times New Roman"/>
          <w:b/>
          <w:sz w:val="24"/>
        </w:rPr>
      </w:pPr>
      <w:r w:rsidRPr="006A20E2">
        <w:rPr>
          <w:rFonts w:ascii="Times New Roman" w:hAnsi="Times New Roman"/>
          <w:b/>
          <w:sz w:val="24"/>
        </w:rPr>
        <w:t>Postúpenie a započítanie pohľadávok</w:t>
      </w:r>
    </w:p>
    <w:p w:rsidR="006B473D" w:rsidRPr="006A20E2" w:rsidRDefault="006B473D" w:rsidP="006B473D">
      <w:pPr>
        <w:pStyle w:val="tl1"/>
        <w:numPr>
          <w:ilvl w:val="0"/>
          <w:numId w:val="0"/>
        </w:numPr>
        <w:ind w:left="567"/>
        <w:rPr>
          <w:rFonts w:ascii="Times New Roman" w:hAnsi="Times New Roman"/>
          <w:b/>
          <w:sz w:val="24"/>
        </w:rPr>
      </w:pPr>
    </w:p>
    <w:p w:rsidR="006B473D" w:rsidRPr="00A40EC1" w:rsidRDefault="006B473D" w:rsidP="006B473D">
      <w:pPr>
        <w:pStyle w:val="Odsekzoznamu"/>
        <w:numPr>
          <w:ilvl w:val="0"/>
          <w:numId w:val="13"/>
        </w:numPr>
        <w:tabs>
          <w:tab w:val="left" w:pos="426"/>
        </w:tabs>
        <w:suppressAutoHyphens/>
        <w:spacing w:after="120"/>
        <w:ind w:right="284"/>
        <w:jc w:val="both"/>
        <w:rPr>
          <w:vanish/>
        </w:rPr>
      </w:pPr>
    </w:p>
    <w:p w:rsidR="006B473D" w:rsidRPr="00A40EC1" w:rsidRDefault="006B473D" w:rsidP="006B473D">
      <w:pPr>
        <w:pStyle w:val="Odsekzoznamu"/>
        <w:numPr>
          <w:ilvl w:val="0"/>
          <w:numId w:val="13"/>
        </w:numPr>
        <w:tabs>
          <w:tab w:val="left" w:pos="426"/>
        </w:tabs>
        <w:suppressAutoHyphens/>
        <w:spacing w:after="120"/>
        <w:ind w:right="284"/>
        <w:jc w:val="both"/>
        <w:rPr>
          <w:vanish/>
        </w:rPr>
      </w:pPr>
    </w:p>
    <w:p w:rsidR="006B473D" w:rsidRPr="00A40EC1" w:rsidRDefault="006B473D" w:rsidP="006B473D">
      <w:pPr>
        <w:pStyle w:val="Odsekzoznamu"/>
        <w:numPr>
          <w:ilvl w:val="0"/>
          <w:numId w:val="13"/>
        </w:numPr>
        <w:tabs>
          <w:tab w:val="left" w:pos="426"/>
        </w:tabs>
        <w:suppressAutoHyphens/>
        <w:spacing w:after="120"/>
        <w:ind w:right="284"/>
        <w:jc w:val="both"/>
        <w:rPr>
          <w:vanish/>
        </w:rPr>
      </w:pPr>
    </w:p>
    <w:p w:rsidR="006B473D" w:rsidRPr="00A40EC1" w:rsidRDefault="006B473D" w:rsidP="006B473D">
      <w:pPr>
        <w:pStyle w:val="Odsekzoznamu"/>
        <w:numPr>
          <w:ilvl w:val="0"/>
          <w:numId w:val="13"/>
        </w:numPr>
        <w:tabs>
          <w:tab w:val="left" w:pos="426"/>
        </w:tabs>
        <w:suppressAutoHyphens/>
        <w:spacing w:after="120"/>
        <w:ind w:right="284"/>
        <w:jc w:val="both"/>
        <w:rPr>
          <w:vanish/>
        </w:rPr>
      </w:pPr>
    </w:p>
    <w:p w:rsidR="006B473D" w:rsidRPr="00A40EC1" w:rsidRDefault="006B473D" w:rsidP="006B473D">
      <w:pPr>
        <w:pStyle w:val="Odsekzoznamu"/>
        <w:numPr>
          <w:ilvl w:val="0"/>
          <w:numId w:val="13"/>
        </w:numPr>
        <w:tabs>
          <w:tab w:val="left" w:pos="426"/>
        </w:tabs>
        <w:suppressAutoHyphens/>
        <w:spacing w:after="120"/>
        <w:ind w:right="284"/>
        <w:jc w:val="both"/>
        <w:rPr>
          <w:vanish/>
        </w:rPr>
      </w:pPr>
    </w:p>
    <w:p w:rsidR="006B473D" w:rsidRPr="00A40EC1" w:rsidRDefault="006B473D" w:rsidP="006B473D">
      <w:pPr>
        <w:pStyle w:val="Odsekzoznamu"/>
        <w:numPr>
          <w:ilvl w:val="0"/>
          <w:numId w:val="13"/>
        </w:numPr>
        <w:tabs>
          <w:tab w:val="left" w:pos="426"/>
        </w:tabs>
        <w:suppressAutoHyphens/>
        <w:spacing w:after="120"/>
        <w:ind w:right="284"/>
        <w:jc w:val="both"/>
        <w:rPr>
          <w:vanish/>
        </w:rPr>
      </w:pPr>
    </w:p>
    <w:p w:rsidR="006B473D" w:rsidRPr="00A40EC1" w:rsidRDefault="006B473D" w:rsidP="006B473D">
      <w:pPr>
        <w:pStyle w:val="Odsekzoznamu"/>
        <w:numPr>
          <w:ilvl w:val="0"/>
          <w:numId w:val="13"/>
        </w:numPr>
        <w:tabs>
          <w:tab w:val="left" w:pos="426"/>
        </w:tabs>
        <w:suppressAutoHyphens/>
        <w:spacing w:after="120"/>
        <w:ind w:right="284"/>
        <w:jc w:val="both"/>
        <w:rPr>
          <w:vanish/>
        </w:rPr>
      </w:pPr>
    </w:p>
    <w:p w:rsidR="006B473D" w:rsidRPr="00A40EC1" w:rsidRDefault="006B473D" w:rsidP="006B473D">
      <w:pPr>
        <w:pStyle w:val="Odsekzoznamu"/>
        <w:numPr>
          <w:ilvl w:val="0"/>
          <w:numId w:val="13"/>
        </w:numPr>
        <w:tabs>
          <w:tab w:val="left" w:pos="426"/>
        </w:tabs>
        <w:suppressAutoHyphens/>
        <w:spacing w:after="120"/>
        <w:ind w:right="284"/>
        <w:jc w:val="both"/>
        <w:rPr>
          <w:vanish/>
        </w:rPr>
      </w:pPr>
    </w:p>
    <w:p w:rsidR="006B473D" w:rsidRPr="00A40EC1" w:rsidRDefault="006B473D" w:rsidP="006B473D">
      <w:pPr>
        <w:pStyle w:val="Odsekzoznamu"/>
        <w:numPr>
          <w:ilvl w:val="0"/>
          <w:numId w:val="14"/>
        </w:numPr>
        <w:tabs>
          <w:tab w:val="left" w:pos="426"/>
        </w:tabs>
        <w:suppressAutoHyphens/>
        <w:spacing w:after="120"/>
        <w:ind w:right="284"/>
        <w:jc w:val="both"/>
        <w:rPr>
          <w:vanish/>
        </w:rPr>
      </w:pPr>
    </w:p>
    <w:p w:rsidR="006B473D" w:rsidRPr="00A40EC1" w:rsidRDefault="006B473D" w:rsidP="006B473D">
      <w:pPr>
        <w:pStyle w:val="Odsekzoznamu"/>
        <w:numPr>
          <w:ilvl w:val="0"/>
          <w:numId w:val="14"/>
        </w:numPr>
        <w:tabs>
          <w:tab w:val="left" w:pos="426"/>
        </w:tabs>
        <w:suppressAutoHyphens/>
        <w:spacing w:after="120"/>
        <w:ind w:right="284"/>
        <w:jc w:val="both"/>
        <w:rPr>
          <w:vanish/>
        </w:rPr>
      </w:pPr>
    </w:p>
    <w:p w:rsidR="006B473D" w:rsidRPr="00A40EC1" w:rsidRDefault="006B473D" w:rsidP="006B473D">
      <w:pPr>
        <w:pStyle w:val="Odsekzoznamu"/>
        <w:numPr>
          <w:ilvl w:val="0"/>
          <w:numId w:val="14"/>
        </w:numPr>
        <w:tabs>
          <w:tab w:val="left" w:pos="426"/>
        </w:tabs>
        <w:suppressAutoHyphens/>
        <w:spacing w:after="120"/>
        <w:ind w:right="284"/>
        <w:jc w:val="both"/>
        <w:rPr>
          <w:vanish/>
        </w:rPr>
      </w:pPr>
    </w:p>
    <w:p w:rsidR="006B473D" w:rsidRPr="00A40EC1" w:rsidRDefault="006B473D" w:rsidP="006B473D">
      <w:pPr>
        <w:pStyle w:val="Odsekzoznamu"/>
        <w:numPr>
          <w:ilvl w:val="0"/>
          <w:numId w:val="14"/>
        </w:numPr>
        <w:tabs>
          <w:tab w:val="left" w:pos="426"/>
        </w:tabs>
        <w:suppressAutoHyphens/>
        <w:spacing w:after="120"/>
        <w:ind w:right="284"/>
        <w:jc w:val="both"/>
        <w:rPr>
          <w:vanish/>
        </w:rPr>
      </w:pPr>
    </w:p>
    <w:p w:rsidR="006B473D" w:rsidRPr="00A40EC1" w:rsidRDefault="006B473D" w:rsidP="006B473D">
      <w:pPr>
        <w:pStyle w:val="Odsekzoznamu"/>
        <w:numPr>
          <w:ilvl w:val="0"/>
          <w:numId w:val="14"/>
        </w:numPr>
        <w:tabs>
          <w:tab w:val="left" w:pos="426"/>
        </w:tabs>
        <w:suppressAutoHyphens/>
        <w:spacing w:after="120"/>
        <w:ind w:right="284"/>
        <w:jc w:val="both"/>
        <w:rPr>
          <w:vanish/>
        </w:rPr>
      </w:pPr>
    </w:p>
    <w:p w:rsidR="006B473D" w:rsidRPr="00A40EC1" w:rsidRDefault="006B473D" w:rsidP="006B473D">
      <w:pPr>
        <w:pStyle w:val="Odsekzoznamu"/>
        <w:numPr>
          <w:ilvl w:val="0"/>
          <w:numId w:val="14"/>
        </w:numPr>
        <w:tabs>
          <w:tab w:val="left" w:pos="426"/>
        </w:tabs>
        <w:suppressAutoHyphens/>
        <w:spacing w:after="120"/>
        <w:ind w:right="284"/>
        <w:jc w:val="both"/>
        <w:rPr>
          <w:vanish/>
        </w:rPr>
      </w:pPr>
    </w:p>
    <w:p w:rsidR="006B473D" w:rsidRPr="00A40EC1" w:rsidRDefault="006B473D" w:rsidP="006B473D">
      <w:pPr>
        <w:pStyle w:val="Odsekzoznamu"/>
        <w:numPr>
          <w:ilvl w:val="0"/>
          <w:numId w:val="14"/>
        </w:numPr>
        <w:tabs>
          <w:tab w:val="left" w:pos="426"/>
        </w:tabs>
        <w:suppressAutoHyphens/>
        <w:spacing w:after="120"/>
        <w:ind w:right="284"/>
        <w:jc w:val="both"/>
        <w:rPr>
          <w:vanish/>
        </w:rPr>
      </w:pPr>
    </w:p>
    <w:p w:rsidR="006B473D" w:rsidRPr="006A20E2" w:rsidRDefault="006B473D" w:rsidP="006B473D">
      <w:pPr>
        <w:pStyle w:val="Odsekzoznamu"/>
        <w:numPr>
          <w:ilvl w:val="1"/>
          <w:numId w:val="14"/>
        </w:numPr>
        <w:tabs>
          <w:tab w:val="clear" w:pos="851"/>
          <w:tab w:val="left" w:pos="567"/>
        </w:tabs>
        <w:suppressAutoHyphens/>
        <w:spacing w:after="120"/>
        <w:ind w:left="567" w:right="284" w:hanging="567"/>
        <w:jc w:val="both"/>
      </w:pPr>
      <w:r w:rsidRPr="006A20E2">
        <w:t xml:space="preserve">Zmluvné strany sa dohodli,  že akékoľvek pohľadávky, ktoré eviduje </w:t>
      </w:r>
      <w:r>
        <w:rPr>
          <w:lang w:val="sk-SK"/>
        </w:rPr>
        <w:t>poskytovateľ</w:t>
      </w:r>
      <w:r w:rsidRPr="006A20E2">
        <w:t xml:space="preserve"> voči </w:t>
      </w:r>
      <w:r>
        <w:rPr>
          <w:lang w:val="sk-SK"/>
        </w:rPr>
        <w:t>objednávateľovi</w:t>
      </w:r>
      <w:r w:rsidRPr="006A20E2">
        <w:rPr>
          <w:lang w:val="sk-SK"/>
        </w:rPr>
        <w:t>,</w:t>
      </w:r>
      <w:r w:rsidRPr="006A20E2">
        <w:t xml:space="preserve"> nie je možné</w:t>
      </w:r>
      <w:r w:rsidRPr="006A20E2">
        <w:rPr>
          <w:lang w:val="sk-SK"/>
        </w:rPr>
        <w:t>,</w:t>
      </w:r>
      <w:r w:rsidRPr="006A20E2">
        <w:t xml:space="preserve"> v zmysle § 525 ods. 2 zákona č. 40/1964 Zb. Občianskeho zákonníka</w:t>
      </w:r>
      <w:r w:rsidRPr="006A20E2">
        <w:rPr>
          <w:lang w:val="sk-SK"/>
        </w:rPr>
        <w:t>,</w:t>
      </w:r>
      <w:r w:rsidRPr="006A20E2">
        <w:t xml:space="preserve"> postúpiť na tretiu osobu bez predchádzajúceho písomného súhlasu </w:t>
      </w:r>
      <w:r>
        <w:rPr>
          <w:lang w:val="sk-SK"/>
        </w:rPr>
        <w:t>objednávateľa</w:t>
      </w:r>
      <w:r w:rsidRPr="006A20E2">
        <w:t xml:space="preserve">. </w:t>
      </w:r>
    </w:p>
    <w:p w:rsidR="006B473D" w:rsidRPr="006A20E2" w:rsidRDefault="006B473D" w:rsidP="006B473D">
      <w:pPr>
        <w:pStyle w:val="Odsekzoznamu"/>
        <w:numPr>
          <w:ilvl w:val="1"/>
          <w:numId w:val="14"/>
        </w:numPr>
        <w:tabs>
          <w:tab w:val="clear" w:pos="851"/>
          <w:tab w:val="left" w:pos="567"/>
        </w:tabs>
        <w:suppressAutoHyphens/>
        <w:spacing w:after="120"/>
        <w:ind w:left="567" w:right="284" w:hanging="567"/>
        <w:jc w:val="both"/>
      </w:pPr>
      <w:r w:rsidRPr="006A20E2">
        <w:t xml:space="preserve">Na predchádzajúci písomný súhlas </w:t>
      </w:r>
      <w:r>
        <w:rPr>
          <w:lang w:val="sk-SK"/>
        </w:rPr>
        <w:t>objednávateľa</w:t>
      </w:r>
      <w:r w:rsidRPr="006A20E2">
        <w:t xml:space="preserve"> s postúpením pohľadávky na tretiu osobu sa</w:t>
      </w:r>
      <w:r>
        <w:rPr>
          <w:lang w:val="sk-SK"/>
        </w:rPr>
        <w:t>,</w:t>
      </w:r>
      <w:r w:rsidRPr="006A20E2">
        <w:t xml:space="preserve"> v zmysle Príkazu ministra zdravotníctva SR č. 7/2017 zo dňa 25. septembra 2017, vyžaduje predchádzajúci písomný súhlas Ministerstva zdravotníctva SR. </w:t>
      </w:r>
    </w:p>
    <w:p w:rsidR="006B473D" w:rsidRPr="006A20E2" w:rsidRDefault="006B473D" w:rsidP="006B473D">
      <w:pPr>
        <w:pStyle w:val="Odsekzoznamu"/>
        <w:numPr>
          <w:ilvl w:val="1"/>
          <w:numId w:val="14"/>
        </w:numPr>
        <w:tabs>
          <w:tab w:val="clear" w:pos="851"/>
          <w:tab w:val="left" w:pos="567"/>
        </w:tabs>
        <w:suppressAutoHyphens/>
        <w:spacing w:after="120"/>
        <w:ind w:left="567" w:right="284" w:hanging="567"/>
        <w:jc w:val="both"/>
      </w:pPr>
      <w:r w:rsidRPr="006A20E2">
        <w:t xml:space="preserve">V prípade ak </w:t>
      </w:r>
      <w:r>
        <w:rPr>
          <w:lang w:val="sk-SK"/>
        </w:rPr>
        <w:t>poskytovateľ</w:t>
      </w:r>
      <w:r w:rsidRPr="006A20E2">
        <w:t xml:space="preserve"> postúpi pohľadávky na tretiu osobu v rozpore s týmto ustanovením zmluvy, je takéto postúpenie podľa ustanovenia § 39 zákona č. 40/1964 Zb. Občianskeho zákonníka neplatné.</w:t>
      </w:r>
    </w:p>
    <w:p w:rsidR="006B473D" w:rsidRPr="00A40EC1" w:rsidRDefault="006B473D" w:rsidP="006B473D">
      <w:pPr>
        <w:pStyle w:val="Odsekzoznamu"/>
        <w:numPr>
          <w:ilvl w:val="1"/>
          <w:numId w:val="14"/>
        </w:numPr>
        <w:tabs>
          <w:tab w:val="clear" w:pos="851"/>
          <w:tab w:val="left" w:pos="567"/>
          <w:tab w:val="left" w:pos="993"/>
        </w:tabs>
        <w:suppressAutoHyphens/>
        <w:ind w:left="567" w:right="284" w:hanging="567"/>
        <w:jc w:val="both"/>
      </w:pPr>
      <w:r>
        <w:rPr>
          <w:lang w:val="pl-PL"/>
        </w:rPr>
        <w:t>Poskytovateľ</w:t>
      </w:r>
      <w:r w:rsidRPr="006A20E2">
        <w:rPr>
          <w:lang w:val="pl-PL"/>
        </w:rPr>
        <w:t xml:space="preserve"> berie na vedomie, že jednostranné započítanie pohľadávok nie je možné. Započítanie pohľadávok </w:t>
      </w:r>
      <w:r>
        <w:rPr>
          <w:lang w:val="pl-PL"/>
        </w:rPr>
        <w:t>objednávateľa</w:t>
      </w:r>
      <w:r w:rsidRPr="006A20E2">
        <w:rPr>
          <w:lang w:val="pl-PL"/>
        </w:rPr>
        <w:t xml:space="preserve"> je možné len na základe písomnej dohody o započítaní pohľadávok štátu, v zmysle § 8 zák. č. 374/2014 o pohľadávkach štátu v platnom znení.</w:t>
      </w:r>
    </w:p>
    <w:p w:rsidR="006B473D" w:rsidRDefault="006B473D" w:rsidP="006B473D">
      <w:pPr>
        <w:pStyle w:val="Odsekzoznamu"/>
        <w:tabs>
          <w:tab w:val="left" w:pos="567"/>
          <w:tab w:val="left" w:pos="993"/>
        </w:tabs>
        <w:suppressAutoHyphens/>
        <w:ind w:left="567" w:right="284"/>
        <w:jc w:val="both"/>
        <w:rPr>
          <w:lang w:val="pl-PL"/>
        </w:rPr>
      </w:pPr>
    </w:p>
    <w:p w:rsidR="006B473D" w:rsidRPr="006A20E2" w:rsidRDefault="006B473D" w:rsidP="006B473D">
      <w:pPr>
        <w:pStyle w:val="Odsekzoznamu"/>
        <w:numPr>
          <w:ilvl w:val="0"/>
          <w:numId w:val="12"/>
        </w:numPr>
        <w:tabs>
          <w:tab w:val="left" w:pos="567"/>
          <w:tab w:val="left" w:pos="993"/>
        </w:tabs>
        <w:suppressAutoHyphens/>
        <w:ind w:right="284"/>
        <w:jc w:val="center"/>
      </w:pPr>
    </w:p>
    <w:p w:rsidR="006B473D" w:rsidRDefault="006B473D" w:rsidP="006B473D">
      <w:pPr>
        <w:pStyle w:val="tl1"/>
        <w:numPr>
          <w:ilvl w:val="0"/>
          <w:numId w:val="0"/>
        </w:numPr>
        <w:rPr>
          <w:rFonts w:ascii="Times New Roman" w:hAnsi="Times New Roman"/>
          <w:b/>
          <w:sz w:val="24"/>
        </w:rPr>
      </w:pPr>
      <w:r w:rsidRPr="006A20E2">
        <w:rPr>
          <w:rFonts w:ascii="Times New Roman" w:hAnsi="Times New Roman"/>
          <w:b/>
          <w:sz w:val="24"/>
        </w:rPr>
        <w:t>Prechod rizika a prechod vlastníckeho práva</w:t>
      </w:r>
    </w:p>
    <w:p w:rsidR="006B473D" w:rsidRPr="006A20E2" w:rsidRDefault="006B473D" w:rsidP="006B473D">
      <w:pPr>
        <w:pStyle w:val="tl1"/>
        <w:numPr>
          <w:ilvl w:val="0"/>
          <w:numId w:val="0"/>
        </w:numPr>
        <w:rPr>
          <w:rFonts w:ascii="Times New Roman" w:hAnsi="Times New Roman"/>
          <w:b/>
          <w:sz w:val="24"/>
        </w:rPr>
      </w:pPr>
    </w:p>
    <w:p w:rsidR="006B473D" w:rsidRPr="00BE5FCB" w:rsidRDefault="006B473D" w:rsidP="006B473D">
      <w:pPr>
        <w:pStyle w:val="Odsekzoznamu"/>
        <w:numPr>
          <w:ilvl w:val="0"/>
          <w:numId w:val="15"/>
        </w:numPr>
        <w:spacing w:after="120"/>
        <w:jc w:val="both"/>
        <w:rPr>
          <w:vanish/>
        </w:rPr>
      </w:pPr>
    </w:p>
    <w:p w:rsidR="006B473D" w:rsidRPr="00BE5FCB" w:rsidRDefault="006B473D" w:rsidP="006B473D">
      <w:pPr>
        <w:pStyle w:val="Odsekzoznamu"/>
        <w:numPr>
          <w:ilvl w:val="0"/>
          <w:numId w:val="15"/>
        </w:numPr>
        <w:spacing w:after="120"/>
        <w:jc w:val="both"/>
        <w:rPr>
          <w:vanish/>
        </w:rPr>
      </w:pPr>
    </w:p>
    <w:p w:rsidR="006B473D" w:rsidRPr="00BE5FCB" w:rsidRDefault="006B473D" w:rsidP="006B473D">
      <w:pPr>
        <w:pStyle w:val="Odsekzoznamu"/>
        <w:numPr>
          <w:ilvl w:val="0"/>
          <w:numId w:val="15"/>
        </w:numPr>
        <w:spacing w:after="120"/>
        <w:jc w:val="both"/>
        <w:rPr>
          <w:vanish/>
        </w:rPr>
      </w:pPr>
    </w:p>
    <w:p w:rsidR="006B473D" w:rsidRPr="00BE5FCB" w:rsidRDefault="006B473D" w:rsidP="006B473D">
      <w:pPr>
        <w:pStyle w:val="Odsekzoznamu"/>
        <w:numPr>
          <w:ilvl w:val="0"/>
          <w:numId w:val="15"/>
        </w:numPr>
        <w:spacing w:after="120"/>
        <w:jc w:val="both"/>
        <w:rPr>
          <w:vanish/>
        </w:rPr>
      </w:pPr>
    </w:p>
    <w:p w:rsidR="006B473D" w:rsidRPr="00BE5FCB" w:rsidRDefault="006B473D" w:rsidP="006B473D">
      <w:pPr>
        <w:pStyle w:val="Odsekzoznamu"/>
        <w:numPr>
          <w:ilvl w:val="0"/>
          <w:numId w:val="15"/>
        </w:numPr>
        <w:spacing w:after="120"/>
        <w:jc w:val="both"/>
        <w:rPr>
          <w:vanish/>
        </w:rPr>
      </w:pPr>
    </w:p>
    <w:p w:rsidR="006B473D" w:rsidRPr="00BE5FCB" w:rsidRDefault="006B473D" w:rsidP="006B473D">
      <w:pPr>
        <w:pStyle w:val="Odsekzoznamu"/>
        <w:numPr>
          <w:ilvl w:val="0"/>
          <w:numId w:val="15"/>
        </w:numPr>
        <w:spacing w:after="120"/>
        <w:jc w:val="both"/>
        <w:rPr>
          <w:vanish/>
        </w:rPr>
      </w:pPr>
    </w:p>
    <w:p w:rsidR="006B473D" w:rsidRPr="00BE5FCB" w:rsidRDefault="006B473D" w:rsidP="006B473D">
      <w:pPr>
        <w:pStyle w:val="Odsekzoznamu"/>
        <w:numPr>
          <w:ilvl w:val="0"/>
          <w:numId w:val="15"/>
        </w:numPr>
        <w:spacing w:after="120"/>
        <w:jc w:val="both"/>
        <w:rPr>
          <w:vanish/>
        </w:rPr>
      </w:pPr>
    </w:p>
    <w:p w:rsidR="006B473D" w:rsidRPr="00BE5FCB" w:rsidRDefault="006B473D" w:rsidP="006B473D">
      <w:pPr>
        <w:pStyle w:val="Odsekzoznamu"/>
        <w:numPr>
          <w:ilvl w:val="0"/>
          <w:numId w:val="15"/>
        </w:numPr>
        <w:spacing w:after="120"/>
        <w:jc w:val="both"/>
        <w:rPr>
          <w:vanish/>
        </w:rPr>
      </w:pPr>
    </w:p>
    <w:p w:rsidR="006B473D" w:rsidRPr="006A20E2" w:rsidRDefault="006B473D" w:rsidP="006B473D">
      <w:pPr>
        <w:pStyle w:val="Odsekzoznamu"/>
        <w:numPr>
          <w:ilvl w:val="1"/>
          <w:numId w:val="15"/>
        </w:numPr>
        <w:tabs>
          <w:tab w:val="clear" w:pos="851"/>
          <w:tab w:val="num" w:pos="567"/>
        </w:tabs>
        <w:spacing w:after="120"/>
        <w:ind w:left="567" w:hanging="567"/>
        <w:jc w:val="both"/>
      </w:pPr>
      <w:r w:rsidRPr="006A20E2">
        <w:t>Prechod rizika za prípadné škody prechádza</w:t>
      </w:r>
      <w:r>
        <w:rPr>
          <w:lang w:val="sk-SK"/>
        </w:rPr>
        <w:t>jú</w:t>
      </w:r>
      <w:r w:rsidRPr="006A20E2">
        <w:t xml:space="preserve"> z predávajúceho na kupujúceho momentom odovzdania a prevzatia </w:t>
      </w:r>
      <w:r>
        <w:rPr>
          <w:lang w:val="sk-SK"/>
        </w:rPr>
        <w:t>odpadu</w:t>
      </w:r>
      <w:r w:rsidRPr="006A20E2">
        <w:t>.</w:t>
      </w:r>
    </w:p>
    <w:p w:rsidR="006B473D" w:rsidRPr="00DB4866" w:rsidRDefault="006B473D" w:rsidP="006B473D">
      <w:pPr>
        <w:pStyle w:val="Odsekzoznamu"/>
        <w:numPr>
          <w:ilvl w:val="1"/>
          <w:numId w:val="15"/>
        </w:numPr>
        <w:tabs>
          <w:tab w:val="clear" w:pos="851"/>
          <w:tab w:val="left" w:pos="567"/>
        </w:tabs>
        <w:ind w:left="567" w:hanging="567"/>
        <w:jc w:val="both"/>
        <w:rPr>
          <w:lang w:eastAsia="ar-SA"/>
        </w:rPr>
      </w:pPr>
      <w:r w:rsidRPr="00DB4866">
        <w:rPr>
          <w:color w:val="333333"/>
        </w:rPr>
        <w:t xml:space="preserve">Od potvrdenia o prevzatí odpadu oboma </w:t>
      </w:r>
      <w:r>
        <w:rPr>
          <w:color w:val="333333"/>
          <w:lang w:val="sk-SK"/>
        </w:rPr>
        <w:t xml:space="preserve">zmuvnými </w:t>
      </w:r>
      <w:r w:rsidRPr="00DB4866">
        <w:rPr>
          <w:color w:val="333333"/>
        </w:rPr>
        <w:t xml:space="preserve">stranami a naloženia odpadu na dopravný prostriedok dodávateľ služby preberá plnú zodpovednosť za ďalšie nakladanie s odpadom. </w:t>
      </w:r>
    </w:p>
    <w:p w:rsidR="006B473D" w:rsidRPr="00DB4866" w:rsidRDefault="006B473D" w:rsidP="006B473D">
      <w:pPr>
        <w:pStyle w:val="Odsekzoznamu"/>
        <w:tabs>
          <w:tab w:val="left" w:pos="567"/>
        </w:tabs>
        <w:ind w:left="426"/>
        <w:jc w:val="both"/>
        <w:rPr>
          <w:lang w:eastAsia="ar-SA"/>
        </w:rPr>
      </w:pPr>
    </w:p>
    <w:p w:rsidR="006B473D" w:rsidRPr="006A20E2" w:rsidRDefault="006B473D" w:rsidP="006B473D">
      <w:pPr>
        <w:pStyle w:val="Odsekzoznamu"/>
        <w:numPr>
          <w:ilvl w:val="0"/>
          <w:numId w:val="15"/>
        </w:numPr>
        <w:tabs>
          <w:tab w:val="left" w:pos="709"/>
          <w:tab w:val="left" w:pos="993"/>
        </w:tabs>
        <w:suppressAutoHyphens/>
        <w:ind w:right="284"/>
        <w:jc w:val="center"/>
      </w:pPr>
    </w:p>
    <w:p w:rsidR="006B473D" w:rsidRDefault="006B473D" w:rsidP="006B473D">
      <w:pPr>
        <w:pStyle w:val="tl1"/>
        <w:numPr>
          <w:ilvl w:val="0"/>
          <w:numId w:val="0"/>
        </w:numPr>
        <w:rPr>
          <w:rFonts w:ascii="Times New Roman" w:hAnsi="Times New Roman"/>
          <w:b/>
          <w:bCs/>
          <w:sz w:val="24"/>
        </w:rPr>
      </w:pPr>
      <w:r w:rsidRPr="006A20E2">
        <w:rPr>
          <w:rFonts w:ascii="Times New Roman" w:hAnsi="Times New Roman"/>
          <w:b/>
          <w:bCs/>
          <w:sz w:val="24"/>
        </w:rPr>
        <w:t>Skončenie rámcovej zmluvy</w:t>
      </w:r>
    </w:p>
    <w:p w:rsidR="006B473D" w:rsidRPr="006A20E2" w:rsidRDefault="006B473D" w:rsidP="006B473D">
      <w:pPr>
        <w:pStyle w:val="tl1"/>
        <w:numPr>
          <w:ilvl w:val="0"/>
          <w:numId w:val="0"/>
        </w:numPr>
        <w:rPr>
          <w:rFonts w:ascii="Times New Roman" w:hAnsi="Times New Roman"/>
          <w:b/>
          <w:bCs/>
          <w:sz w:val="24"/>
        </w:rPr>
      </w:pPr>
    </w:p>
    <w:p w:rsidR="006B473D" w:rsidRPr="006A20E2" w:rsidRDefault="006B473D" w:rsidP="006B473D">
      <w:pPr>
        <w:pStyle w:val="Default"/>
        <w:numPr>
          <w:ilvl w:val="1"/>
          <w:numId w:val="8"/>
        </w:numPr>
        <w:tabs>
          <w:tab w:val="left" w:pos="567"/>
        </w:tabs>
        <w:spacing w:after="120"/>
        <w:ind w:left="567" w:hanging="567"/>
        <w:jc w:val="both"/>
        <w:rPr>
          <w:rFonts w:ascii="Times New Roman" w:hAnsi="Times New Roman" w:cs="Times New Roman"/>
          <w:color w:val="auto"/>
        </w:rPr>
      </w:pPr>
      <w:r w:rsidRPr="006A20E2">
        <w:rPr>
          <w:rFonts w:ascii="Times New Roman" w:hAnsi="Times New Roman" w:cs="Times New Roman"/>
          <w:color w:val="auto"/>
        </w:rPr>
        <w:t>Táto zmluva sa skončí uplynutím času, na ktorý bola dojednaná.</w:t>
      </w:r>
    </w:p>
    <w:p w:rsidR="006B473D" w:rsidRPr="006A20E2" w:rsidRDefault="006B473D" w:rsidP="006B473D">
      <w:pPr>
        <w:pStyle w:val="Default"/>
        <w:numPr>
          <w:ilvl w:val="1"/>
          <w:numId w:val="8"/>
        </w:numPr>
        <w:tabs>
          <w:tab w:val="left" w:pos="567"/>
        </w:tabs>
        <w:spacing w:after="120"/>
        <w:ind w:left="567" w:hanging="567"/>
        <w:jc w:val="both"/>
        <w:rPr>
          <w:rFonts w:ascii="Times New Roman" w:hAnsi="Times New Roman" w:cs="Times New Roman"/>
          <w:color w:val="auto"/>
        </w:rPr>
      </w:pPr>
      <w:r w:rsidRPr="006A20E2">
        <w:rPr>
          <w:rFonts w:ascii="Times New Roman" w:hAnsi="Times New Roman" w:cs="Times New Roman"/>
          <w:color w:val="auto"/>
        </w:rPr>
        <w:t>Túto zmluvu je možné ukončiť aj na základe vzájomnej dohody oboch zmluvných strán, k dátumu, ktorý si dohodnú.</w:t>
      </w:r>
    </w:p>
    <w:p w:rsidR="006B473D" w:rsidRPr="006A20E2" w:rsidRDefault="006B473D" w:rsidP="006B473D">
      <w:pPr>
        <w:pStyle w:val="tl1"/>
        <w:numPr>
          <w:ilvl w:val="1"/>
          <w:numId w:val="8"/>
        </w:numPr>
        <w:tabs>
          <w:tab w:val="left" w:pos="567"/>
        </w:tabs>
        <w:spacing w:after="120"/>
        <w:ind w:left="567" w:hanging="567"/>
        <w:jc w:val="both"/>
        <w:rPr>
          <w:rFonts w:ascii="Times New Roman" w:hAnsi="Times New Roman"/>
          <w:sz w:val="24"/>
        </w:rPr>
      </w:pPr>
      <w:r w:rsidRPr="006A20E2">
        <w:rPr>
          <w:rFonts w:ascii="Times New Roman" w:hAnsi="Times New Roman"/>
          <w:sz w:val="24"/>
        </w:rPr>
        <w:t>Táto zmluva alebo jej časť môže byť vypovedaná ktoroukoľvek zo zmluvných strán bez udania dôvodu alebo z akéhokoľvek dôvodu. Výpovedná lehota je 3 mesačná, a začína plynúť prvým dňom mesiaca nasledujúceho po doručení písomnej výpovede druhej zmluvnej strane.</w:t>
      </w:r>
    </w:p>
    <w:p w:rsidR="006B473D" w:rsidRPr="006A20E2" w:rsidRDefault="006B473D" w:rsidP="006B473D">
      <w:pPr>
        <w:pStyle w:val="tl1"/>
        <w:numPr>
          <w:ilvl w:val="1"/>
          <w:numId w:val="8"/>
        </w:numPr>
        <w:tabs>
          <w:tab w:val="left" w:pos="567"/>
        </w:tabs>
        <w:spacing w:after="120"/>
        <w:ind w:left="567" w:hanging="567"/>
        <w:jc w:val="both"/>
        <w:rPr>
          <w:rFonts w:ascii="Times New Roman" w:hAnsi="Times New Roman"/>
          <w:sz w:val="24"/>
        </w:rPr>
      </w:pPr>
      <w:r w:rsidRPr="006A20E2">
        <w:rPr>
          <w:rFonts w:ascii="Times New Roman" w:hAnsi="Times New Roman"/>
          <w:iCs/>
          <w:sz w:val="24"/>
        </w:rPr>
        <w:t xml:space="preserve">Ak zmluvná strana poruší podstatným spôsobom alebo opakovane povinnosť vyplývajúcu z tejto zmluvy, druhá strana môže od zmluvy odstúpiť, ak to oznámi bez zbytočného odkladu po tom, čo sa o tomto porušení dozvedela. Odstúpenie je účinné dňom jeho doručenia druhej zmluvnej strane. Za podstatné porušenie povinnosti sa považuje najmä: </w:t>
      </w:r>
      <w:r>
        <w:rPr>
          <w:rFonts w:ascii="Times New Roman" w:hAnsi="Times New Roman"/>
          <w:iCs/>
          <w:sz w:val="24"/>
        </w:rPr>
        <w:t>nedodržanie termínu odvozu odpadu</w:t>
      </w:r>
      <w:r w:rsidRPr="006A20E2">
        <w:rPr>
          <w:rFonts w:ascii="Times New Roman" w:hAnsi="Times New Roman"/>
          <w:iCs/>
          <w:sz w:val="24"/>
        </w:rPr>
        <w:t xml:space="preserve"> alebo </w:t>
      </w:r>
      <w:r>
        <w:rPr>
          <w:rFonts w:ascii="Times New Roman" w:hAnsi="Times New Roman"/>
          <w:iCs/>
          <w:sz w:val="24"/>
        </w:rPr>
        <w:t>likvidácia odpadu v rozpore s platnou legislatívou SR</w:t>
      </w:r>
      <w:r w:rsidRPr="006A20E2">
        <w:rPr>
          <w:rFonts w:ascii="Times New Roman" w:hAnsi="Times New Roman"/>
          <w:iCs/>
          <w:sz w:val="24"/>
        </w:rPr>
        <w:t xml:space="preserve">, omeškanie </w:t>
      </w:r>
      <w:r>
        <w:rPr>
          <w:rFonts w:ascii="Times New Roman" w:hAnsi="Times New Roman"/>
          <w:iCs/>
          <w:sz w:val="24"/>
        </w:rPr>
        <w:t>objednávateľa</w:t>
      </w:r>
      <w:r w:rsidRPr="006A20E2">
        <w:rPr>
          <w:rFonts w:ascii="Times New Roman" w:hAnsi="Times New Roman"/>
          <w:iCs/>
          <w:sz w:val="24"/>
        </w:rPr>
        <w:t xml:space="preserve"> s úhradou faktúry o viac ako dva mesiace.</w:t>
      </w:r>
    </w:p>
    <w:p w:rsidR="006B473D" w:rsidRPr="006A20E2" w:rsidRDefault="006B473D" w:rsidP="006B473D">
      <w:pPr>
        <w:pStyle w:val="tl1"/>
        <w:numPr>
          <w:ilvl w:val="1"/>
          <w:numId w:val="8"/>
        </w:numPr>
        <w:tabs>
          <w:tab w:val="left" w:pos="567"/>
        </w:tabs>
        <w:spacing w:after="120"/>
        <w:ind w:left="567" w:hanging="567"/>
        <w:jc w:val="both"/>
        <w:rPr>
          <w:rFonts w:ascii="Times New Roman" w:hAnsi="Times New Roman"/>
          <w:sz w:val="24"/>
        </w:rPr>
      </w:pPr>
      <w:r w:rsidRPr="006A20E2">
        <w:rPr>
          <w:rFonts w:ascii="Times New Roman" w:hAnsi="Times New Roman"/>
          <w:iCs/>
          <w:sz w:val="24"/>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6B473D" w:rsidRPr="006A20E2" w:rsidRDefault="006B473D" w:rsidP="006B473D">
      <w:pPr>
        <w:pStyle w:val="tl1"/>
        <w:numPr>
          <w:ilvl w:val="1"/>
          <w:numId w:val="8"/>
        </w:numPr>
        <w:tabs>
          <w:tab w:val="left" w:pos="567"/>
        </w:tabs>
        <w:spacing w:after="120"/>
        <w:ind w:left="567" w:hanging="567"/>
        <w:jc w:val="both"/>
        <w:rPr>
          <w:rFonts w:ascii="Times New Roman" w:hAnsi="Times New Roman"/>
          <w:sz w:val="24"/>
        </w:rPr>
      </w:pPr>
      <w:r>
        <w:rPr>
          <w:rFonts w:ascii="Times New Roman" w:hAnsi="Times New Roman"/>
          <w:sz w:val="24"/>
        </w:rPr>
        <w:t>Objednávateľ</w:t>
      </w:r>
      <w:r w:rsidRPr="006A20E2">
        <w:rPr>
          <w:rFonts w:ascii="Times New Roman" w:hAnsi="Times New Roman"/>
          <w:sz w:val="24"/>
        </w:rPr>
        <w:t xml:space="preserve"> má právo odstúpiť od tejto dohody aj z dôvodov uvedených v §19 zákona č. 343/2015 Z.z. o verejnom obstarávaní v znení neskorších zmien a doplnení.</w:t>
      </w:r>
    </w:p>
    <w:p w:rsidR="006B473D" w:rsidRPr="006A20E2" w:rsidRDefault="006B473D" w:rsidP="006B473D">
      <w:pPr>
        <w:pStyle w:val="tl1"/>
        <w:numPr>
          <w:ilvl w:val="0"/>
          <w:numId w:val="0"/>
        </w:numPr>
        <w:ind w:left="454"/>
        <w:jc w:val="left"/>
        <w:rPr>
          <w:rFonts w:ascii="Times New Roman" w:hAnsi="Times New Roman"/>
          <w:sz w:val="24"/>
        </w:rPr>
      </w:pPr>
    </w:p>
    <w:p w:rsidR="006B473D" w:rsidRDefault="006B473D" w:rsidP="006B473D">
      <w:pPr>
        <w:pStyle w:val="tl1"/>
        <w:numPr>
          <w:ilvl w:val="0"/>
          <w:numId w:val="15"/>
        </w:numPr>
        <w:rPr>
          <w:rFonts w:ascii="Times New Roman" w:hAnsi="Times New Roman"/>
          <w:b/>
          <w:bCs/>
          <w:sz w:val="24"/>
        </w:rPr>
      </w:pPr>
    </w:p>
    <w:p w:rsidR="006B473D" w:rsidRDefault="006B473D" w:rsidP="006B473D">
      <w:pPr>
        <w:pStyle w:val="tl1"/>
        <w:numPr>
          <w:ilvl w:val="0"/>
          <w:numId w:val="0"/>
        </w:numPr>
        <w:ind w:left="454"/>
        <w:rPr>
          <w:rFonts w:ascii="Times New Roman" w:hAnsi="Times New Roman"/>
          <w:b/>
          <w:bCs/>
          <w:sz w:val="24"/>
        </w:rPr>
      </w:pPr>
      <w:r w:rsidRPr="006A20E2">
        <w:rPr>
          <w:rFonts w:ascii="Times New Roman" w:hAnsi="Times New Roman"/>
          <w:b/>
          <w:bCs/>
          <w:sz w:val="24"/>
        </w:rPr>
        <w:t>Trvanie, platnosť a účinnosť rámcovej zmluvy</w:t>
      </w:r>
    </w:p>
    <w:p w:rsidR="006B473D" w:rsidRPr="006A20E2" w:rsidRDefault="006B473D" w:rsidP="006B473D">
      <w:pPr>
        <w:pStyle w:val="tl1"/>
        <w:numPr>
          <w:ilvl w:val="0"/>
          <w:numId w:val="0"/>
        </w:numPr>
        <w:ind w:left="454"/>
        <w:rPr>
          <w:rFonts w:ascii="Times New Roman" w:hAnsi="Times New Roman"/>
          <w:b/>
          <w:bCs/>
          <w:sz w:val="24"/>
        </w:rPr>
      </w:pPr>
    </w:p>
    <w:p w:rsidR="006B473D" w:rsidRPr="006A20E2" w:rsidRDefault="006B473D" w:rsidP="006B473D">
      <w:pPr>
        <w:pStyle w:val="tl1"/>
        <w:numPr>
          <w:ilvl w:val="1"/>
          <w:numId w:val="9"/>
        </w:numPr>
        <w:spacing w:after="120"/>
        <w:jc w:val="both"/>
        <w:rPr>
          <w:rFonts w:ascii="Times New Roman" w:hAnsi="Times New Roman"/>
          <w:sz w:val="24"/>
        </w:rPr>
      </w:pPr>
      <w:r w:rsidRPr="006A20E2">
        <w:rPr>
          <w:rFonts w:ascii="Times New Roman" w:hAnsi="Times New Roman"/>
          <w:sz w:val="24"/>
        </w:rPr>
        <w:t>Táto zmluva sa uzatvára na dobú určitú, na obdobie 2 (dvoch) rokov odo dňa nadobudnutia jej účinnosti.</w:t>
      </w:r>
    </w:p>
    <w:p w:rsidR="006B473D" w:rsidRDefault="006B473D" w:rsidP="006B473D">
      <w:pPr>
        <w:pStyle w:val="tl1"/>
        <w:numPr>
          <w:ilvl w:val="1"/>
          <w:numId w:val="9"/>
        </w:numPr>
        <w:jc w:val="both"/>
        <w:rPr>
          <w:rFonts w:ascii="Times New Roman" w:hAnsi="Times New Roman"/>
          <w:sz w:val="24"/>
        </w:rPr>
      </w:pPr>
      <w:r w:rsidRPr="006A20E2">
        <w:rPr>
          <w:rFonts w:ascii="Times New Roman" w:hAnsi="Times New Roman"/>
          <w:sz w:val="24"/>
        </w:rPr>
        <w:t xml:space="preserve">Táto zmluva nadobúda platnosť dňom podpisu zmluvy štatutárnymi zástupcami oboch zmluvných strán a účinnosť dňom nasledujúcim po dni jej zverejnenia v Centrálnom registri zmlúv SR. </w:t>
      </w:r>
    </w:p>
    <w:p w:rsidR="006B473D" w:rsidRDefault="006B473D" w:rsidP="006B473D">
      <w:pPr>
        <w:pStyle w:val="tl1"/>
        <w:numPr>
          <w:ilvl w:val="0"/>
          <w:numId w:val="0"/>
        </w:numPr>
        <w:ind w:left="1135"/>
        <w:jc w:val="left"/>
        <w:rPr>
          <w:rFonts w:ascii="Times New Roman" w:hAnsi="Times New Roman"/>
          <w:b/>
          <w:sz w:val="24"/>
        </w:rPr>
      </w:pPr>
    </w:p>
    <w:p w:rsidR="006B473D" w:rsidRDefault="006B473D" w:rsidP="006B473D">
      <w:pPr>
        <w:pStyle w:val="tl1"/>
        <w:numPr>
          <w:ilvl w:val="0"/>
          <w:numId w:val="15"/>
        </w:numPr>
        <w:rPr>
          <w:rFonts w:ascii="Times New Roman" w:hAnsi="Times New Roman"/>
          <w:b/>
          <w:sz w:val="24"/>
        </w:rPr>
      </w:pPr>
    </w:p>
    <w:p w:rsidR="006B473D" w:rsidRDefault="006B473D" w:rsidP="006B473D">
      <w:pPr>
        <w:pStyle w:val="tl1"/>
        <w:numPr>
          <w:ilvl w:val="0"/>
          <w:numId w:val="0"/>
        </w:numPr>
        <w:rPr>
          <w:rFonts w:ascii="Times New Roman" w:hAnsi="Times New Roman"/>
          <w:b/>
          <w:bCs/>
          <w:sz w:val="24"/>
        </w:rPr>
      </w:pPr>
      <w:r w:rsidRPr="006A20E2">
        <w:rPr>
          <w:rFonts w:ascii="Times New Roman" w:hAnsi="Times New Roman"/>
          <w:b/>
          <w:bCs/>
          <w:sz w:val="24"/>
        </w:rPr>
        <w:t>Mlčanlivosť</w:t>
      </w:r>
    </w:p>
    <w:p w:rsidR="006B473D" w:rsidRPr="006A20E2" w:rsidRDefault="006B473D" w:rsidP="006B473D">
      <w:pPr>
        <w:pStyle w:val="tl1"/>
        <w:numPr>
          <w:ilvl w:val="0"/>
          <w:numId w:val="0"/>
        </w:numPr>
        <w:rPr>
          <w:rFonts w:ascii="Times New Roman" w:hAnsi="Times New Roman"/>
          <w:b/>
          <w:bCs/>
          <w:sz w:val="24"/>
        </w:rPr>
      </w:pPr>
    </w:p>
    <w:p w:rsidR="006B473D" w:rsidRPr="006A20E2" w:rsidRDefault="006B473D" w:rsidP="006B473D">
      <w:pPr>
        <w:pStyle w:val="Nadpis81"/>
        <w:numPr>
          <w:ilvl w:val="1"/>
          <w:numId w:val="10"/>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4"/>
          <w:szCs w:val="24"/>
          <w:lang w:val="sk-SK"/>
        </w:rPr>
      </w:pPr>
      <w:r w:rsidRPr="006A20E2">
        <w:rPr>
          <w:rFonts w:hAnsi="Times New Roman" w:cs="Times New Roman"/>
          <w:sz w:val="24"/>
          <w:szCs w:val="24"/>
          <w:lang w:val="sk-SK"/>
        </w:rPr>
        <w:t xml:space="preserve">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6B473D" w:rsidRDefault="006B473D" w:rsidP="006B473D">
      <w:pPr>
        <w:pStyle w:val="tl1"/>
        <w:numPr>
          <w:ilvl w:val="0"/>
          <w:numId w:val="15"/>
        </w:numPr>
        <w:rPr>
          <w:rFonts w:ascii="Times New Roman" w:hAnsi="Times New Roman"/>
          <w:b/>
          <w:bCs/>
          <w:sz w:val="24"/>
        </w:rPr>
      </w:pPr>
    </w:p>
    <w:p w:rsidR="006B473D" w:rsidRDefault="006B473D" w:rsidP="006B473D">
      <w:pPr>
        <w:pStyle w:val="tl1"/>
        <w:numPr>
          <w:ilvl w:val="0"/>
          <w:numId w:val="0"/>
        </w:numPr>
        <w:rPr>
          <w:rFonts w:ascii="Times New Roman" w:hAnsi="Times New Roman"/>
          <w:b/>
          <w:bCs/>
          <w:sz w:val="24"/>
        </w:rPr>
      </w:pPr>
      <w:r w:rsidRPr="006A20E2">
        <w:rPr>
          <w:rFonts w:ascii="Times New Roman" w:hAnsi="Times New Roman"/>
          <w:b/>
          <w:bCs/>
          <w:sz w:val="24"/>
        </w:rPr>
        <w:t>Záverečné ustanovenia</w:t>
      </w:r>
    </w:p>
    <w:p w:rsidR="006B473D" w:rsidRPr="006A20E2" w:rsidRDefault="006B473D" w:rsidP="006B473D">
      <w:pPr>
        <w:pStyle w:val="tl1"/>
        <w:numPr>
          <w:ilvl w:val="0"/>
          <w:numId w:val="0"/>
        </w:numPr>
        <w:rPr>
          <w:rFonts w:ascii="Times New Roman" w:hAnsi="Times New Roman"/>
          <w:b/>
          <w:bCs/>
          <w:sz w:val="24"/>
        </w:rPr>
      </w:pPr>
    </w:p>
    <w:p w:rsidR="006B473D" w:rsidRPr="006A20E2" w:rsidRDefault="006B473D" w:rsidP="006B473D">
      <w:pPr>
        <w:pStyle w:val="tl1"/>
        <w:numPr>
          <w:ilvl w:val="1"/>
          <w:numId w:val="11"/>
        </w:numPr>
        <w:spacing w:after="120"/>
        <w:jc w:val="both"/>
        <w:rPr>
          <w:rFonts w:ascii="Times New Roman" w:hAnsi="Times New Roman"/>
          <w:bCs/>
          <w:sz w:val="24"/>
        </w:rPr>
      </w:pPr>
      <w:r w:rsidRPr="006A20E2">
        <w:rPr>
          <w:rFonts w:ascii="Times New Roman" w:hAnsi="Times New Roman"/>
          <w:sz w:val="24"/>
        </w:rPr>
        <w:t xml:space="preserve">Práva a povinnosti </w:t>
      </w:r>
      <w:r>
        <w:rPr>
          <w:rFonts w:ascii="Times New Roman" w:hAnsi="Times New Roman"/>
          <w:sz w:val="24"/>
        </w:rPr>
        <w:t>zmluvných strán</w:t>
      </w:r>
      <w:r w:rsidRPr="006A20E2">
        <w:rPr>
          <w:rFonts w:ascii="Times New Roman" w:hAnsi="Times New Roman"/>
          <w:sz w:val="24"/>
        </w:rPr>
        <w:t xml:space="preserve">, ktoré nie sú v tejto zmluve výslovne upravené, riadia sa ustanoveniami </w:t>
      </w:r>
      <w:r>
        <w:rPr>
          <w:rFonts w:ascii="Times New Roman" w:hAnsi="Times New Roman"/>
          <w:sz w:val="24"/>
        </w:rPr>
        <w:t>zákona č. 513/1991 Zb.</w:t>
      </w:r>
      <w:r w:rsidRPr="006A20E2">
        <w:rPr>
          <w:rFonts w:ascii="Times New Roman" w:hAnsi="Times New Roman"/>
          <w:sz w:val="24"/>
        </w:rPr>
        <w:t xml:space="preserve"> Obchodného zákonníka v platnom znení a inými všeobecne záväznými právnymi predpismi platnými na území Slovenskej republiky.</w:t>
      </w:r>
    </w:p>
    <w:p w:rsidR="006B473D" w:rsidRPr="006A20E2" w:rsidRDefault="006B473D" w:rsidP="006B473D">
      <w:pPr>
        <w:pStyle w:val="tl1"/>
        <w:numPr>
          <w:ilvl w:val="1"/>
          <w:numId w:val="11"/>
        </w:numPr>
        <w:spacing w:after="120"/>
        <w:jc w:val="both"/>
        <w:rPr>
          <w:rFonts w:ascii="Times New Roman" w:hAnsi="Times New Roman"/>
          <w:sz w:val="24"/>
        </w:rPr>
      </w:pPr>
      <w:r w:rsidRPr="006A20E2">
        <w:rPr>
          <w:rFonts w:ascii="Times New Roman" w:hAnsi="Times New Roman"/>
          <w:sz w:val="24"/>
        </w:rPr>
        <w:t>Podmienky rámcovej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w:t>
      </w:r>
    </w:p>
    <w:p w:rsidR="006B473D" w:rsidRPr="006A20E2" w:rsidRDefault="006B473D" w:rsidP="006B473D">
      <w:pPr>
        <w:pStyle w:val="Odsekzoznamu"/>
        <w:numPr>
          <w:ilvl w:val="1"/>
          <w:numId w:val="11"/>
        </w:numPr>
        <w:spacing w:after="120"/>
        <w:ind w:left="567" w:hanging="425"/>
        <w:jc w:val="both"/>
      </w:pPr>
      <w:r>
        <w:rPr>
          <w:lang w:val="sk-SK"/>
        </w:rPr>
        <w:t xml:space="preserve"> </w:t>
      </w:r>
      <w:r w:rsidRPr="006A20E2">
        <w:t xml:space="preserve">Túto </w:t>
      </w:r>
      <w:r w:rsidRPr="006A20E2">
        <w:rPr>
          <w:lang w:val="sk-SK"/>
        </w:rPr>
        <w:t>zmluvu</w:t>
      </w:r>
      <w:r w:rsidRPr="006A20E2">
        <w:t xml:space="preserve"> je možné meniť len písomnou formou, ako dodatok k zmluve, pri dodržaní ustanovení § 18 zákona č. 343/2015 Z. z. o verejnom obstarávaní a o zmene a doplnení niektorých zákonov, ktorý bude podpísaný obidvoma zmluvnými stranami. Tieto dodatky a stanú neoddeliteľnou súčasťou tejto zmluvy.</w:t>
      </w:r>
    </w:p>
    <w:p w:rsidR="006B473D" w:rsidRPr="006A20E2" w:rsidRDefault="006B473D" w:rsidP="006B473D">
      <w:pPr>
        <w:pStyle w:val="tl1"/>
        <w:numPr>
          <w:ilvl w:val="1"/>
          <w:numId w:val="11"/>
        </w:numPr>
        <w:spacing w:after="120"/>
        <w:ind w:left="567" w:hanging="425"/>
        <w:jc w:val="both"/>
        <w:rPr>
          <w:rFonts w:ascii="Times New Roman" w:hAnsi="Times New Roman"/>
          <w:sz w:val="24"/>
        </w:rPr>
      </w:pPr>
      <w:r>
        <w:rPr>
          <w:rFonts w:ascii="Times New Roman" w:hAnsi="Times New Roman"/>
          <w:sz w:val="24"/>
        </w:rPr>
        <w:t xml:space="preserve"> </w:t>
      </w:r>
      <w:r w:rsidRPr="006A20E2">
        <w:rPr>
          <w:rFonts w:ascii="Times New Roman" w:hAnsi="Times New Roman"/>
          <w:sz w:val="24"/>
        </w:rPr>
        <w:t>Zmluvné strany sa dohodli, že na doručovanie všetkých písomností vyplývajúcich z tohto zmluvného vzťahu sa primerane použijú ustanovenia § 111 až § 113 zákona č. 160/2015 Z.z. Civilného sporového poriadku.</w:t>
      </w:r>
    </w:p>
    <w:p w:rsidR="006B473D" w:rsidRPr="006A20E2" w:rsidRDefault="006B473D" w:rsidP="006B473D">
      <w:pPr>
        <w:pStyle w:val="tl1"/>
        <w:numPr>
          <w:ilvl w:val="1"/>
          <w:numId w:val="11"/>
        </w:numPr>
        <w:spacing w:after="120"/>
        <w:ind w:left="567" w:hanging="567"/>
        <w:jc w:val="both"/>
        <w:rPr>
          <w:rFonts w:ascii="Times New Roman" w:hAnsi="Times New Roman"/>
          <w:bCs/>
          <w:sz w:val="24"/>
        </w:rPr>
      </w:pPr>
      <w:r w:rsidRPr="006A20E2">
        <w:rPr>
          <w:rFonts w:ascii="Times New Roman" w:hAnsi="Times New Roman"/>
          <w:sz w:val="24"/>
        </w:rPr>
        <w:t xml:space="preserve">Táto rámcová zmluva je vyhotovená v štyroch rovnopisoch z ktorých každý má platnosť originálu. </w:t>
      </w:r>
      <w:r>
        <w:rPr>
          <w:rFonts w:ascii="Times New Roman" w:hAnsi="Times New Roman"/>
          <w:sz w:val="24"/>
        </w:rPr>
        <w:t>Objednávateľ a poskytovateľ</w:t>
      </w:r>
      <w:r w:rsidRPr="006A20E2">
        <w:rPr>
          <w:rFonts w:ascii="Times New Roman" w:hAnsi="Times New Roman"/>
          <w:sz w:val="24"/>
        </w:rPr>
        <w:t xml:space="preserve"> obdržia po dvoch rovnopisoch.</w:t>
      </w:r>
    </w:p>
    <w:p w:rsidR="006B473D" w:rsidRPr="006A20E2" w:rsidRDefault="006B473D" w:rsidP="006B473D">
      <w:pPr>
        <w:pStyle w:val="tl1"/>
        <w:numPr>
          <w:ilvl w:val="1"/>
          <w:numId w:val="11"/>
        </w:numPr>
        <w:spacing w:after="120"/>
        <w:ind w:left="567" w:hanging="567"/>
        <w:jc w:val="both"/>
        <w:rPr>
          <w:rFonts w:ascii="Times New Roman" w:hAnsi="Times New Roman"/>
          <w:bCs/>
          <w:sz w:val="24"/>
        </w:rPr>
      </w:pPr>
      <w:r w:rsidRPr="006A20E2">
        <w:rPr>
          <w:rFonts w:ascii="Times New Roman" w:hAnsi="Times New Roman"/>
          <w:sz w:val="24"/>
        </w:rPr>
        <w:t xml:space="preserve">Zmluvné strany vyhlasujú, že si túto rámcovú zmluvu prečítali, porozumeli jej obsahu a s dohodnutými podmienkami súhlasia, </w:t>
      </w:r>
      <w:r>
        <w:rPr>
          <w:rFonts w:ascii="Times New Roman" w:hAnsi="Times New Roman"/>
          <w:sz w:val="24"/>
        </w:rPr>
        <w:t>a na znak súhlasu ju slobodne a vážne podpísali</w:t>
      </w:r>
      <w:r w:rsidRPr="006A20E2">
        <w:rPr>
          <w:rFonts w:ascii="Times New Roman" w:hAnsi="Times New Roman"/>
          <w:sz w:val="24"/>
        </w:rPr>
        <w:t>.</w:t>
      </w:r>
    </w:p>
    <w:p w:rsidR="006B473D" w:rsidRPr="0026741B" w:rsidRDefault="006B473D" w:rsidP="006B473D">
      <w:pPr>
        <w:pStyle w:val="CharChar2"/>
        <w:numPr>
          <w:ilvl w:val="1"/>
          <w:numId w:val="11"/>
        </w:numPr>
        <w:spacing w:after="0" w:line="240" w:lineRule="auto"/>
        <w:jc w:val="both"/>
        <w:rPr>
          <w:rFonts w:ascii="Times New Roman" w:hAnsi="Times New Roman"/>
          <w:sz w:val="24"/>
          <w:szCs w:val="24"/>
          <w:lang w:val="sk-SK"/>
        </w:rPr>
      </w:pPr>
      <w:r w:rsidRPr="0026741B">
        <w:rPr>
          <w:rFonts w:ascii="Times New Roman" w:hAnsi="Times New Roman"/>
          <w:sz w:val="24"/>
          <w:szCs w:val="24"/>
          <w:lang w:val="sk-SK"/>
        </w:rPr>
        <w:t xml:space="preserve">Neoddeliteľnou súčasťou tejto zmluvy o dielo sú: </w:t>
      </w:r>
    </w:p>
    <w:p w:rsidR="006B473D" w:rsidRPr="00824449" w:rsidRDefault="006B473D" w:rsidP="006B473D">
      <w:pPr>
        <w:pStyle w:val="CharChar2"/>
        <w:numPr>
          <w:ilvl w:val="2"/>
          <w:numId w:val="11"/>
        </w:numPr>
        <w:spacing w:after="0" w:line="240" w:lineRule="auto"/>
        <w:jc w:val="both"/>
        <w:rPr>
          <w:rFonts w:ascii="Times New Roman" w:hAnsi="Times New Roman"/>
          <w:sz w:val="24"/>
          <w:szCs w:val="24"/>
          <w:lang w:val="sk-SK"/>
        </w:rPr>
      </w:pPr>
      <w:r w:rsidRPr="00824449">
        <w:rPr>
          <w:rFonts w:ascii="Times New Roman" w:hAnsi="Times New Roman"/>
          <w:sz w:val="24"/>
          <w:szCs w:val="24"/>
          <w:lang w:val="pl-PL"/>
        </w:rPr>
        <w:t>Príloha č. 1 –</w:t>
      </w:r>
      <w:r>
        <w:rPr>
          <w:rFonts w:ascii="Times New Roman" w:hAnsi="Times New Roman"/>
          <w:sz w:val="24"/>
          <w:szCs w:val="24"/>
          <w:lang w:val="pl-PL"/>
        </w:rPr>
        <w:t xml:space="preserve"> </w:t>
      </w:r>
      <w:r w:rsidRPr="001958C2">
        <w:rPr>
          <w:rFonts w:ascii="Times New Roman" w:hAnsi="Times New Roman"/>
          <w:i/>
          <w:sz w:val="24"/>
          <w:szCs w:val="24"/>
          <w:lang w:val="pl-PL"/>
        </w:rPr>
        <w:t>Podrobný opis predmetu zmluvy</w:t>
      </w:r>
      <w:r>
        <w:rPr>
          <w:rFonts w:ascii="Times New Roman" w:hAnsi="Times New Roman"/>
          <w:i/>
          <w:sz w:val="24"/>
          <w:szCs w:val="24"/>
          <w:lang w:val="pl-PL"/>
        </w:rPr>
        <w:t>,</w:t>
      </w:r>
    </w:p>
    <w:p w:rsidR="006B473D" w:rsidRPr="0026741B" w:rsidRDefault="006B473D" w:rsidP="006B473D">
      <w:pPr>
        <w:pStyle w:val="CharChar2"/>
        <w:numPr>
          <w:ilvl w:val="2"/>
          <w:numId w:val="11"/>
        </w:numPr>
        <w:spacing w:after="0" w:line="240" w:lineRule="auto"/>
        <w:jc w:val="both"/>
        <w:rPr>
          <w:rFonts w:ascii="Times New Roman" w:hAnsi="Times New Roman"/>
          <w:sz w:val="24"/>
          <w:szCs w:val="24"/>
          <w:lang w:val="sk-SK"/>
        </w:rPr>
      </w:pPr>
      <w:r w:rsidRPr="00824449">
        <w:rPr>
          <w:rFonts w:ascii="Times New Roman" w:hAnsi="Times New Roman"/>
          <w:sz w:val="24"/>
          <w:szCs w:val="24"/>
          <w:lang w:val="pl-PL"/>
        </w:rPr>
        <w:t>Príloha č. 2 –</w:t>
      </w:r>
      <w:r w:rsidRPr="00824449">
        <w:rPr>
          <w:rFonts w:ascii="Times New Roman" w:hAnsi="Times New Roman"/>
          <w:i/>
          <w:sz w:val="24"/>
          <w:szCs w:val="24"/>
          <w:lang w:val="pl-PL"/>
        </w:rPr>
        <w:t xml:space="preserve"> </w:t>
      </w:r>
      <w:r w:rsidRPr="00824449">
        <w:rPr>
          <w:rFonts w:ascii="Times New Roman" w:hAnsi="Times New Roman"/>
          <w:sz w:val="24"/>
          <w:szCs w:val="24"/>
          <w:lang w:val="pl-PL"/>
        </w:rPr>
        <w:t>C</w:t>
      </w:r>
      <w:r w:rsidRPr="00824449">
        <w:rPr>
          <w:rFonts w:ascii="Times New Roman" w:hAnsi="Times New Roman"/>
          <w:i/>
          <w:sz w:val="24"/>
          <w:szCs w:val="24"/>
          <w:lang w:val="pl-PL"/>
        </w:rPr>
        <w:t xml:space="preserve">enová ponuka </w:t>
      </w:r>
    </w:p>
    <w:p w:rsidR="006B473D" w:rsidRDefault="006B473D" w:rsidP="006B473D">
      <w:pPr>
        <w:pStyle w:val="tl1"/>
        <w:numPr>
          <w:ilvl w:val="0"/>
          <w:numId w:val="0"/>
        </w:numPr>
        <w:ind w:left="720"/>
        <w:jc w:val="both"/>
        <w:rPr>
          <w:rFonts w:ascii="Times New Roman" w:hAnsi="Times New Roman"/>
          <w:bCs/>
          <w:sz w:val="24"/>
        </w:rPr>
      </w:pPr>
    </w:p>
    <w:p w:rsidR="006B473D" w:rsidRPr="006F50E3" w:rsidRDefault="006B473D" w:rsidP="006B473D">
      <w:pPr>
        <w:pStyle w:val="tl1"/>
        <w:numPr>
          <w:ilvl w:val="0"/>
          <w:numId w:val="0"/>
        </w:numPr>
        <w:rPr>
          <w:rFonts w:ascii="Times New Roman" w:hAnsi="Times New Roman"/>
          <w:b/>
          <w:bCs/>
          <w:sz w:val="24"/>
        </w:rPr>
      </w:pPr>
    </w:p>
    <w:tbl>
      <w:tblPr>
        <w:tblW w:w="9720" w:type="dxa"/>
        <w:tblInd w:w="108" w:type="dxa"/>
        <w:tblLayout w:type="fixed"/>
        <w:tblLook w:val="01E0"/>
      </w:tblPr>
      <w:tblGrid>
        <w:gridCol w:w="284"/>
        <w:gridCol w:w="1984"/>
        <w:gridCol w:w="567"/>
        <w:gridCol w:w="2025"/>
        <w:gridCol w:w="236"/>
        <w:gridCol w:w="2134"/>
        <w:gridCol w:w="567"/>
        <w:gridCol w:w="1923"/>
      </w:tblGrid>
      <w:tr w:rsidR="006B473D" w:rsidRPr="006F50E3" w:rsidTr="009F2D09">
        <w:tc>
          <w:tcPr>
            <w:tcW w:w="284" w:type="dxa"/>
          </w:tcPr>
          <w:p w:rsidR="006B473D" w:rsidRPr="006F50E3" w:rsidRDefault="006B473D" w:rsidP="009F2D09">
            <w:r w:rsidRPr="006F50E3">
              <w:t>V</w:t>
            </w:r>
          </w:p>
        </w:tc>
        <w:tc>
          <w:tcPr>
            <w:tcW w:w="1984" w:type="dxa"/>
            <w:tcBorders>
              <w:bottom w:val="single" w:sz="4" w:space="0" w:color="808080"/>
            </w:tcBorders>
          </w:tcPr>
          <w:p w:rsidR="006B473D" w:rsidRPr="006F50E3" w:rsidRDefault="006B473D" w:rsidP="009F2D09"/>
        </w:tc>
        <w:tc>
          <w:tcPr>
            <w:tcW w:w="567" w:type="dxa"/>
          </w:tcPr>
          <w:p w:rsidR="006B473D" w:rsidRPr="006F50E3" w:rsidRDefault="006B473D" w:rsidP="009F2D09">
            <w:r w:rsidRPr="006F50E3">
              <w:t>dňa</w:t>
            </w:r>
          </w:p>
        </w:tc>
        <w:tc>
          <w:tcPr>
            <w:tcW w:w="2025" w:type="dxa"/>
            <w:tcBorders>
              <w:bottom w:val="single" w:sz="4" w:space="0" w:color="808080"/>
            </w:tcBorders>
          </w:tcPr>
          <w:p w:rsidR="006B473D" w:rsidRPr="006F50E3" w:rsidRDefault="006B473D" w:rsidP="009F2D09"/>
        </w:tc>
        <w:tc>
          <w:tcPr>
            <w:tcW w:w="236" w:type="dxa"/>
          </w:tcPr>
          <w:p w:rsidR="006B473D" w:rsidRPr="006F50E3" w:rsidRDefault="006B473D" w:rsidP="009F2D09"/>
        </w:tc>
        <w:tc>
          <w:tcPr>
            <w:tcW w:w="2134" w:type="dxa"/>
            <w:shd w:val="clear" w:color="auto" w:fill="auto"/>
          </w:tcPr>
          <w:p w:rsidR="006B473D" w:rsidRPr="006F50E3" w:rsidRDefault="006B473D" w:rsidP="009F2D09">
            <w:r w:rsidRPr="006F50E3">
              <w:t>V Banskej Bystrici</w:t>
            </w:r>
          </w:p>
        </w:tc>
        <w:tc>
          <w:tcPr>
            <w:tcW w:w="567" w:type="dxa"/>
            <w:shd w:val="clear" w:color="auto" w:fill="auto"/>
          </w:tcPr>
          <w:p w:rsidR="006B473D" w:rsidRPr="006F50E3" w:rsidRDefault="006B473D" w:rsidP="009F2D09">
            <w:r w:rsidRPr="006F50E3">
              <w:t>dňa</w:t>
            </w:r>
          </w:p>
        </w:tc>
        <w:tc>
          <w:tcPr>
            <w:tcW w:w="1923" w:type="dxa"/>
            <w:tcBorders>
              <w:bottom w:val="single" w:sz="4" w:space="0" w:color="808080"/>
            </w:tcBorders>
            <w:shd w:val="clear" w:color="auto" w:fill="auto"/>
          </w:tcPr>
          <w:p w:rsidR="006B473D" w:rsidRPr="006F50E3" w:rsidRDefault="006B473D" w:rsidP="009F2D09">
            <w:pPr>
              <w:rPr>
                <w:u w:val="single"/>
              </w:rPr>
            </w:pPr>
          </w:p>
        </w:tc>
      </w:tr>
      <w:tr w:rsidR="006B473D" w:rsidRPr="006F50E3" w:rsidTr="009F2D09">
        <w:tc>
          <w:tcPr>
            <w:tcW w:w="284" w:type="dxa"/>
          </w:tcPr>
          <w:p w:rsidR="006B473D" w:rsidRPr="006F50E3" w:rsidRDefault="006B473D" w:rsidP="009F2D09"/>
        </w:tc>
        <w:tc>
          <w:tcPr>
            <w:tcW w:w="1984" w:type="dxa"/>
            <w:tcBorders>
              <w:top w:val="single" w:sz="4" w:space="0" w:color="808080"/>
            </w:tcBorders>
          </w:tcPr>
          <w:p w:rsidR="006B473D" w:rsidRPr="006F50E3" w:rsidRDefault="006B473D" w:rsidP="009F2D09"/>
        </w:tc>
        <w:tc>
          <w:tcPr>
            <w:tcW w:w="567" w:type="dxa"/>
          </w:tcPr>
          <w:p w:rsidR="006B473D" w:rsidRPr="006F50E3" w:rsidRDefault="006B473D" w:rsidP="009F2D09"/>
        </w:tc>
        <w:tc>
          <w:tcPr>
            <w:tcW w:w="2025" w:type="dxa"/>
            <w:tcBorders>
              <w:top w:val="single" w:sz="4" w:space="0" w:color="808080"/>
            </w:tcBorders>
          </w:tcPr>
          <w:p w:rsidR="006B473D" w:rsidRPr="006F50E3" w:rsidRDefault="006B473D" w:rsidP="009F2D09"/>
        </w:tc>
        <w:tc>
          <w:tcPr>
            <w:tcW w:w="236" w:type="dxa"/>
          </w:tcPr>
          <w:p w:rsidR="006B473D" w:rsidRPr="006F50E3" w:rsidRDefault="006B473D" w:rsidP="009F2D09"/>
        </w:tc>
        <w:tc>
          <w:tcPr>
            <w:tcW w:w="2134" w:type="dxa"/>
            <w:shd w:val="clear" w:color="auto" w:fill="auto"/>
          </w:tcPr>
          <w:p w:rsidR="006B473D" w:rsidRPr="006F50E3" w:rsidRDefault="006B473D" w:rsidP="009F2D09"/>
        </w:tc>
        <w:tc>
          <w:tcPr>
            <w:tcW w:w="567" w:type="dxa"/>
            <w:shd w:val="clear" w:color="auto" w:fill="auto"/>
          </w:tcPr>
          <w:p w:rsidR="006B473D" w:rsidRPr="006F50E3" w:rsidRDefault="006B473D" w:rsidP="009F2D09"/>
        </w:tc>
        <w:tc>
          <w:tcPr>
            <w:tcW w:w="1923" w:type="dxa"/>
            <w:tcBorders>
              <w:top w:val="single" w:sz="4" w:space="0" w:color="808080"/>
            </w:tcBorders>
            <w:shd w:val="clear" w:color="auto" w:fill="auto"/>
          </w:tcPr>
          <w:p w:rsidR="006B473D" w:rsidRPr="006F50E3" w:rsidRDefault="006B473D" w:rsidP="009F2D09"/>
        </w:tc>
      </w:tr>
      <w:tr w:rsidR="006B473D" w:rsidRPr="006F50E3" w:rsidTr="009F2D09">
        <w:tc>
          <w:tcPr>
            <w:tcW w:w="284" w:type="dxa"/>
          </w:tcPr>
          <w:p w:rsidR="006B473D" w:rsidRPr="006F50E3" w:rsidRDefault="006B473D" w:rsidP="009F2D09">
            <w:pPr>
              <w:rPr>
                <w:sz w:val="22"/>
                <w:szCs w:val="22"/>
              </w:rPr>
            </w:pPr>
          </w:p>
        </w:tc>
        <w:tc>
          <w:tcPr>
            <w:tcW w:w="1984" w:type="dxa"/>
          </w:tcPr>
          <w:p w:rsidR="006B473D" w:rsidRPr="006F50E3" w:rsidRDefault="006B473D" w:rsidP="009F2D09">
            <w:pPr>
              <w:rPr>
                <w:sz w:val="22"/>
                <w:szCs w:val="22"/>
              </w:rPr>
            </w:pPr>
          </w:p>
        </w:tc>
        <w:tc>
          <w:tcPr>
            <w:tcW w:w="567" w:type="dxa"/>
          </w:tcPr>
          <w:p w:rsidR="006B473D" w:rsidRPr="006F50E3" w:rsidRDefault="006B473D" w:rsidP="009F2D09">
            <w:pPr>
              <w:rPr>
                <w:sz w:val="22"/>
                <w:szCs w:val="22"/>
              </w:rPr>
            </w:pPr>
          </w:p>
        </w:tc>
        <w:tc>
          <w:tcPr>
            <w:tcW w:w="2025" w:type="dxa"/>
          </w:tcPr>
          <w:p w:rsidR="006B473D" w:rsidRPr="006F50E3" w:rsidRDefault="006B473D" w:rsidP="009F2D09">
            <w:pPr>
              <w:rPr>
                <w:sz w:val="22"/>
                <w:szCs w:val="22"/>
              </w:rPr>
            </w:pPr>
          </w:p>
        </w:tc>
        <w:tc>
          <w:tcPr>
            <w:tcW w:w="236" w:type="dxa"/>
          </w:tcPr>
          <w:p w:rsidR="006B473D" w:rsidRPr="006F50E3" w:rsidRDefault="006B473D" w:rsidP="009F2D09">
            <w:pPr>
              <w:rPr>
                <w:sz w:val="22"/>
                <w:szCs w:val="22"/>
              </w:rPr>
            </w:pPr>
          </w:p>
        </w:tc>
        <w:tc>
          <w:tcPr>
            <w:tcW w:w="2134" w:type="dxa"/>
            <w:shd w:val="clear" w:color="auto" w:fill="auto"/>
          </w:tcPr>
          <w:p w:rsidR="006B473D" w:rsidRPr="006F50E3" w:rsidRDefault="006B473D" w:rsidP="009F2D09">
            <w:pPr>
              <w:rPr>
                <w:sz w:val="22"/>
                <w:szCs w:val="22"/>
              </w:rPr>
            </w:pPr>
          </w:p>
        </w:tc>
        <w:tc>
          <w:tcPr>
            <w:tcW w:w="567" w:type="dxa"/>
            <w:shd w:val="clear" w:color="auto" w:fill="auto"/>
          </w:tcPr>
          <w:p w:rsidR="006B473D" w:rsidRPr="006F50E3" w:rsidRDefault="006B473D" w:rsidP="009F2D09">
            <w:pPr>
              <w:rPr>
                <w:sz w:val="22"/>
                <w:szCs w:val="22"/>
              </w:rPr>
            </w:pPr>
          </w:p>
        </w:tc>
        <w:tc>
          <w:tcPr>
            <w:tcW w:w="1923" w:type="dxa"/>
            <w:shd w:val="clear" w:color="auto" w:fill="auto"/>
          </w:tcPr>
          <w:p w:rsidR="006B473D" w:rsidRPr="006F50E3" w:rsidRDefault="006B473D" w:rsidP="009F2D09">
            <w:pPr>
              <w:rPr>
                <w:sz w:val="22"/>
                <w:szCs w:val="22"/>
              </w:rPr>
            </w:pPr>
          </w:p>
        </w:tc>
      </w:tr>
      <w:tr w:rsidR="006B473D" w:rsidRPr="006F50E3" w:rsidTr="009F2D09">
        <w:tc>
          <w:tcPr>
            <w:tcW w:w="4860" w:type="dxa"/>
            <w:gridSpan w:val="4"/>
            <w:shd w:val="clear" w:color="auto" w:fill="auto"/>
          </w:tcPr>
          <w:p w:rsidR="006B473D" w:rsidRPr="006F50E3" w:rsidRDefault="006B473D" w:rsidP="009F2D09">
            <w:pPr>
              <w:jc w:val="center"/>
              <w:rPr>
                <w:sz w:val="22"/>
                <w:szCs w:val="22"/>
              </w:rPr>
            </w:pPr>
          </w:p>
        </w:tc>
        <w:tc>
          <w:tcPr>
            <w:tcW w:w="236" w:type="dxa"/>
            <w:shd w:val="clear" w:color="auto" w:fill="auto"/>
          </w:tcPr>
          <w:p w:rsidR="006B473D" w:rsidRPr="006F50E3" w:rsidRDefault="006B473D" w:rsidP="009F2D09">
            <w:pPr>
              <w:jc w:val="center"/>
              <w:rPr>
                <w:sz w:val="22"/>
                <w:szCs w:val="22"/>
              </w:rPr>
            </w:pPr>
          </w:p>
        </w:tc>
        <w:tc>
          <w:tcPr>
            <w:tcW w:w="4624" w:type="dxa"/>
            <w:gridSpan w:val="3"/>
          </w:tcPr>
          <w:p w:rsidR="006B473D" w:rsidRPr="006F50E3" w:rsidRDefault="006B473D" w:rsidP="009F2D09">
            <w:pPr>
              <w:rPr>
                <w:sz w:val="22"/>
                <w:szCs w:val="22"/>
              </w:rPr>
            </w:pPr>
          </w:p>
        </w:tc>
      </w:tr>
      <w:tr w:rsidR="006B473D" w:rsidRPr="006F50E3" w:rsidTr="009F2D09">
        <w:tc>
          <w:tcPr>
            <w:tcW w:w="4860" w:type="dxa"/>
            <w:gridSpan w:val="4"/>
            <w:tcBorders>
              <w:bottom w:val="single" w:sz="4" w:space="0" w:color="808080"/>
            </w:tcBorders>
            <w:shd w:val="clear" w:color="auto" w:fill="auto"/>
          </w:tcPr>
          <w:p w:rsidR="006B473D" w:rsidRPr="006F50E3" w:rsidRDefault="006B473D" w:rsidP="009F2D09">
            <w:pPr>
              <w:jc w:val="center"/>
              <w:rPr>
                <w:sz w:val="22"/>
                <w:szCs w:val="22"/>
              </w:rPr>
            </w:pPr>
          </w:p>
        </w:tc>
        <w:tc>
          <w:tcPr>
            <w:tcW w:w="236" w:type="dxa"/>
            <w:shd w:val="clear" w:color="auto" w:fill="auto"/>
          </w:tcPr>
          <w:p w:rsidR="006B473D" w:rsidRPr="006F50E3" w:rsidRDefault="006B473D" w:rsidP="009F2D09">
            <w:pPr>
              <w:jc w:val="center"/>
              <w:rPr>
                <w:sz w:val="22"/>
                <w:szCs w:val="22"/>
              </w:rPr>
            </w:pPr>
          </w:p>
        </w:tc>
        <w:tc>
          <w:tcPr>
            <w:tcW w:w="4624" w:type="dxa"/>
            <w:gridSpan w:val="3"/>
            <w:tcBorders>
              <w:bottom w:val="single" w:sz="4" w:space="0" w:color="808080"/>
            </w:tcBorders>
          </w:tcPr>
          <w:p w:rsidR="006B473D" w:rsidRPr="006F50E3" w:rsidRDefault="006B473D" w:rsidP="009F2D09">
            <w:pPr>
              <w:rPr>
                <w:sz w:val="22"/>
                <w:szCs w:val="22"/>
              </w:rPr>
            </w:pPr>
          </w:p>
        </w:tc>
      </w:tr>
      <w:tr w:rsidR="006B473D" w:rsidRPr="006F50E3" w:rsidTr="009F2D09">
        <w:tc>
          <w:tcPr>
            <w:tcW w:w="4860" w:type="dxa"/>
            <w:gridSpan w:val="4"/>
            <w:tcBorders>
              <w:top w:val="single" w:sz="4" w:space="0" w:color="808080"/>
            </w:tcBorders>
            <w:shd w:val="clear" w:color="auto" w:fill="auto"/>
          </w:tcPr>
          <w:p w:rsidR="006B473D" w:rsidRPr="006F50E3" w:rsidRDefault="006B473D" w:rsidP="009F2D09">
            <w:pPr>
              <w:jc w:val="center"/>
            </w:pPr>
            <w:r w:rsidRPr="006F50E3">
              <w:t xml:space="preserve">za </w:t>
            </w:r>
            <w:r>
              <w:t>poskytovateľa</w:t>
            </w:r>
            <w:r w:rsidRPr="006F50E3">
              <w:t>:</w:t>
            </w:r>
          </w:p>
        </w:tc>
        <w:tc>
          <w:tcPr>
            <w:tcW w:w="236" w:type="dxa"/>
            <w:shd w:val="clear" w:color="auto" w:fill="auto"/>
          </w:tcPr>
          <w:p w:rsidR="006B473D" w:rsidRPr="006F50E3" w:rsidRDefault="006B473D" w:rsidP="009F2D09">
            <w:pPr>
              <w:jc w:val="center"/>
            </w:pPr>
          </w:p>
        </w:tc>
        <w:tc>
          <w:tcPr>
            <w:tcW w:w="4624" w:type="dxa"/>
            <w:gridSpan w:val="3"/>
            <w:tcBorders>
              <w:top w:val="single" w:sz="4" w:space="0" w:color="808080"/>
            </w:tcBorders>
          </w:tcPr>
          <w:p w:rsidR="006B473D" w:rsidRPr="006F50E3" w:rsidRDefault="006B473D" w:rsidP="009F2D09">
            <w:pPr>
              <w:jc w:val="center"/>
            </w:pPr>
            <w:r w:rsidRPr="006F50E3">
              <w:t xml:space="preserve">za </w:t>
            </w:r>
            <w:r>
              <w:t>objednávateľa</w:t>
            </w:r>
            <w:r w:rsidRPr="006F50E3">
              <w:t>:</w:t>
            </w:r>
          </w:p>
          <w:p w:rsidR="006B473D" w:rsidRPr="000339BE" w:rsidRDefault="006B473D" w:rsidP="009F2D09">
            <w:pPr>
              <w:jc w:val="center"/>
            </w:pPr>
            <w:r w:rsidRPr="000339BE">
              <w:rPr>
                <w:sz w:val="22"/>
                <w:szCs w:val="22"/>
              </w:rPr>
              <w:t>Ing. Miriam Lapuníková, MBA</w:t>
            </w:r>
          </w:p>
          <w:p w:rsidR="006B473D" w:rsidRDefault="006B473D" w:rsidP="009F2D09">
            <w:pPr>
              <w:jc w:val="center"/>
              <w:rPr>
                <w:sz w:val="22"/>
                <w:szCs w:val="22"/>
              </w:rPr>
            </w:pPr>
            <w:r>
              <w:rPr>
                <w:sz w:val="22"/>
                <w:szCs w:val="22"/>
              </w:rPr>
              <w:t xml:space="preserve">generálna </w:t>
            </w:r>
            <w:r w:rsidRPr="000339BE">
              <w:rPr>
                <w:sz w:val="22"/>
                <w:szCs w:val="22"/>
              </w:rPr>
              <w:t>riaditeľka</w:t>
            </w:r>
          </w:p>
          <w:p w:rsidR="006B473D" w:rsidRDefault="006B473D" w:rsidP="009F2D09">
            <w:pPr>
              <w:jc w:val="center"/>
              <w:rPr>
                <w:sz w:val="22"/>
                <w:szCs w:val="22"/>
              </w:rPr>
            </w:pPr>
          </w:p>
          <w:p w:rsidR="006B473D" w:rsidRDefault="006B473D" w:rsidP="009F2D09">
            <w:pPr>
              <w:jc w:val="center"/>
              <w:rPr>
                <w:sz w:val="22"/>
                <w:szCs w:val="22"/>
              </w:rPr>
            </w:pPr>
          </w:p>
          <w:p w:rsidR="006B473D" w:rsidRDefault="006B473D" w:rsidP="009F2D09">
            <w:pPr>
              <w:jc w:val="center"/>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________________________________________</w:t>
            </w:r>
          </w:p>
          <w:p w:rsidR="006B473D" w:rsidRPr="000339BE" w:rsidRDefault="006B473D" w:rsidP="009F2D09">
            <w:pPr>
              <w:jc w:val="center"/>
            </w:pPr>
            <w:r w:rsidRPr="000339BE">
              <w:rPr>
                <w:sz w:val="22"/>
                <w:szCs w:val="22"/>
              </w:rPr>
              <w:t xml:space="preserve">Ing. </w:t>
            </w:r>
            <w:r>
              <w:rPr>
                <w:sz w:val="22"/>
                <w:szCs w:val="22"/>
              </w:rPr>
              <w:t>Ivana Sklenková</w:t>
            </w:r>
          </w:p>
          <w:p w:rsidR="006B473D" w:rsidRPr="006F50E3" w:rsidRDefault="006B473D" w:rsidP="009F2D09">
            <w:pPr>
              <w:jc w:val="center"/>
            </w:pPr>
            <w:r>
              <w:rPr>
                <w:sz w:val="22"/>
                <w:szCs w:val="22"/>
              </w:rPr>
              <w:t xml:space="preserve">ekonomická </w:t>
            </w:r>
            <w:r w:rsidRPr="000339BE">
              <w:rPr>
                <w:sz w:val="22"/>
                <w:szCs w:val="22"/>
              </w:rPr>
              <w:t>riaditeľka</w:t>
            </w:r>
          </w:p>
        </w:tc>
      </w:tr>
    </w:tbl>
    <w:p w:rsidR="006B473D" w:rsidRDefault="006B473D" w:rsidP="006B473D">
      <w:pPr>
        <w:pStyle w:val="NADPIS"/>
        <w:widowControl/>
      </w:pPr>
    </w:p>
    <w:p w:rsidR="006B473D" w:rsidRDefault="006B473D" w:rsidP="006B473D">
      <w:pPr>
        <w:pStyle w:val="NADPIS"/>
        <w:widowControl/>
      </w:pPr>
    </w:p>
    <w:p w:rsidR="006B473D" w:rsidRDefault="006B473D" w:rsidP="006B473D">
      <w:pPr>
        <w:pStyle w:val="NADPIS"/>
        <w:widowControl/>
      </w:pPr>
    </w:p>
    <w:p w:rsidR="006B473D" w:rsidRDefault="006B473D" w:rsidP="006B473D">
      <w:pPr>
        <w:pStyle w:val="NADPIS"/>
        <w:widowControl/>
      </w:pPr>
    </w:p>
    <w:p w:rsidR="006B473D" w:rsidRDefault="006B473D" w:rsidP="006B473D">
      <w:pPr>
        <w:pStyle w:val="NADPIS"/>
        <w:widowControl/>
      </w:pPr>
    </w:p>
    <w:p w:rsidR="006B473D" w:rsidRDefault="006B473D" w:rsidP="006B473D">
      <w:pPr>
        <w:pStyle w:val="NADPIS"/>
        <w:widowControl/>
      </w:pPr>
    </w:p>
    <w:p w:rsidR="00174738" w:rsidRDefault="00174738"/>
    <w:sectPr w:rsidR="00174738" w:rsidSect="0017473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FE4" w:rsidRDefault="00D96FE4" w:rsidP="006B473D">
      <w:r>
        <w:separator/>
      </w:r>
    </w:p>
  </w:endnote>
  <w:endnote w:type="continuationSeparator" w:id="0">
    <w:p w:rsidR="00D96FE4" w:rsidRDefault="00D96FE4" w:rsidP="006B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851202"/>
      <w:docPartObj>
        <w:docPartGallery w:val="Page Numbers (Bottom of Page)"/>
        <w:docPartUnique/>
      </w:docPartObj>
    </w:sdtPr>
    <w:sdtContent>
      <w:p w:rsidR="006B473D" w:rsidRDefault="006B473D" w:rsidP="006B473D">
        <w:pPr>
          <w:pStyle w:val="Pta"/>
          <w:jc w:val="center"/>
        </w:pPr>
        <w:fldSimple w:instr=" PAGE   \* MERGEFORMAT ">
          <w:r w:rsidR="00D96FE4">
            <w:rPr>
              <w:noProof/>
            </w:rPr>
            <w:t>1</w:t>
          </w:r>
        </w:fldSimple>
      </w:p>
    </w:sdtContent>
  </w:sdt>
  <w:p w:rsidR="006B473D" w:rsidRDefault="006B473D">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FE4" w:rsidRDefault="00D96FE4" w:rsidP="006B473D">
      <w:r>
        <w:separator/>
      </w:r>
    </w:p>
  </w:footnote>
  <w:footnote w:type="continuationSeparator" w:id="0">
    <w:p w:rsidR="00D96FE4" w:rsidRDefault="00D96FE4" w:rsidP="006B47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861AE"/>
    <w:multiLevelType w:val="multilevel"/>
    <w:tmpl w:val="488CAD0E"/>
    <w:lvl w:ilvl="0">
      <w:start w:val="1"/>
      <w:numFmt w:val="upperRoman"/>
      <w:lvlText w:val="Článok %1."/>
      <w:lvlJc w:val="left"/>
      <w:pPr>
        <w:ind w:left="432" w:hanging="432"/>
      </w:pPr>
      <w:rPr>
        <w:rFonts w:hint="default"/>
        <w:b/>
        <w:i w:val="0"/>
      </w:rPr>
    </w:lvl>
    <w:lvl w:ilvl="1">
      <w:start w:val="1"/>
      <w:numFmt w:val="decimal"/>
      <w:isLgl/>
      <w:lvlText w:val="%1.%2"/>
      <w:lvlJc w:val="left"/>
      <w:pPr>
        <w:tabs>
          <w:tab w:val="num" w:pos="851"/>
        </w:tabs>
        <w:ind w:left="851" w:hanging="851"/>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
    <w:nsid w:val="16BB3F81"/>
    <w:multiLevelType w:val="multilevel"/>
    <w:tmpl w:val="DF36C68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1BC513C3"/>
    <w:multiLevelType w:val="multilevel"/>
    <w:tmpl w:val="35044DBC"/>
    <w:name w:val="WW8Num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5376101"/>
    <w:multiLevelType w:val="multilevel"/>
    <w:tmpl w:val="50B830F4"/>
    <w:lvl w:ilvl="0">
      <w:start w:val="9"/>
      <w:numFmt w:val="decimal"/>
      <w:lvlText w:val="%1"/>
      <w:lvlJc w:val="left"/>
      <w:pPr>
        <w:ind w:left="360" w:hanging="360"/>
      </w:pPr>
      <w:rPr>
        <w:rFonts w:hint="default"/>
      </w:rPr>
    </w:lvl>
    <w:lvl w:ilvl="1">
      <w:start w:val="1"/>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
    <w:nsid w:val="2DE15604"/>
    <w:multiLevelType w:val="multilevel"/>
    <w:tmpl w:val="222C70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546FD2"/>
    <w:multiLevelType w:val="multilevel"/>
    <w:tmpl w:val="1428A380"/>
    <w:lvl w:ilvl="0">
      <w:start w:val="10"/>
      <w:numFmt w:val="decimal"/>
      <w:lvlText w:val="%1"/>
      <w:lvlJc w:val="left"/>
      <w:pPr>
        <w:ind w:left="420" w:hanging="420"/>
      </w:pPr>
      <w:rPr>
        <w:rFonts w:hint="default"/>
      </w:rPr>
    </w:lvl>
    <w:lvl w:ilvl="1">
      <w:start w:val="1"/>
      <w:numFmt w:val="decimal"/>
      <w:lvlText w:val="%1.%2"/>
      <w:lvlJc w:val="left"/>
      <w:pPr>
        <w:ind w:left="585" w:hanging="42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6">
    <w:nsid w:val="2F6034FC"/>
    <w:multiLevelType w:val="multilevel"/>
    <w:tmpl w:val="488CAD0E"/>
    <w:lvl w:ilvl="0">
      <w:start w:val="1"/>
      <w:numFmt w:val="upperRoman"/>
      <w:lvlText w:val="Článok %1."/>
      <w:lvlJc w:val="left"/>
      <w:pPr>
        <w:ind w:left="432" w:hanging="432"/>
      </w:pPr>
      <w:rPr>
        <w:rFonts w:hint="default"/>
        <w:b/>
        <w:i w:val="0"/>
      </w:rPr>
    </w:lvl>
    <w:lvl w:ilvl="1">
      <w:start w:val="1"/>
      <w:numFmt w:val="decimal"/>
      <w:isLgl/>
      <w:lvlText w:val="%1.%2"/>
      <w:lvlJc w:val="left"/>
      <w:pPr>
        <w:tabs>
          <w:tab w:val="num" w:pos="851"/>
        </w:tabs>
        <w:ind w:left="851" w:hanging="851"/>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7">
    <w:nsid w:val="381F4C21"/>
    <w:multiLevelType w:val="multilevel"/>
    <w:tmpl w:val="488CAD0E"/>
    <w:lvl w:ilvl="0">
      <w:start w:val="1"/>
      <w:numFmt w:val="upperRoman"/>
      <w:lvlText w:val="Článok %1."/>
      <w:lvlJc w:val="left"/>
      <w:pPr>
        <w:ind w:left="432" w:hanging="432"/>
      </w:pPr>
      <w:rPr>
        <w:rFonts w:hint="default"/>
        <w:b/>
        <w:i w:val="0"/>
      </w:rPr>
    </w:lvl>
    <w:lvl w:ilvl="1">
      <w:start w:val="1"/>
      <w:numFmt w:val="decimal"/>
      <w:isLgl/>
      <w:lvlText w:val="%1.%2"/>
      <w:lvlJc w:val="left"/>
      <w:pPr>
        <w:tabs>
          <w:tab w:val="num" w:pos="851"/>
        </w:tabs>
        <w:ind w:left="851" w:hanging="851"/>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8">
    <w:nsid w:val="41D83571"/>
    <w:multiLevelType w:val="multilevel"/>
    <w:tmpl w:val="C3BC917C"/>
    <w:lvl w:ilvl="0">
      <w:start w:val="6"/>
      <w:numFmt w:val="upperLetter"/>
      <w:pStyle w:val="tl1"/>
      <w:lvlText w:val="%1"/>
      <w:lvlJc w:val="left"/>
      <w:pPr>
        <w:tabs>
          <w:tab w:val="num" w:pos="360"/>
        </w:tabs>
        <w:ind w:left="340" w:hanging="340"/>
      </w:pPr>
      <w:rPr>
        <w:rFonts w:ascii="Tahoma" w:hAnsi="Tahoma" w:hint="default"/>
        <w:b/>
        <w:i w:val="0"/>
        <w:caps/>
        <w:sz w:val="24"/>
      </w:rPr>
    </w:lvl>
    <w:lvl w:ilvl="1">
      <w:start w:val="2"/>
      <w:numFmt w:val="upperRoman"/>
      <w:lvlRestart w:val="0"/>
      <w:suff w:val="space"/>
      <w:lvlText w:val="%2."/>
      <w:lvlJc w:val="left"/>
      <w:pPr>
        <w:ind w:left="397" w:hanging="397"/>
      </w:pPr>
      <w:rPr>
        <w:rFonts w:ascii="Tahoma" w:hAnsi="Tahoma" w:hint="default"/>
        <w:b/>
        <w:i w:val="0"/>
        <w:sz w:val="22"/>
      </w:rPr>
    </w:lvl>
    <w:lvl w:ilvl="2">
      <w:start w:val="1"/>
      <w:numFmt w:val="decimal"/>
      <w:lvlRestart w:val="0"/>
      <w:suff w:val="nothing"/>
      <w:lvlText w:val="%3"/>
      <w:lvlJc w:val="left"/>
      <w:pPr>
        <w:ind w:left="57" w:hanging="57"/>
      </w:pPr>
      <w:rPr>
        <w:rFonts w:ascii="Tahoma" w:hAnsi="Tahoma" w:hint="default"/>
        <w:b/>
        <w:i w:val="0"/>
        <w:sz w:val="20"/>
      </w:rPr>
    </w:lvl>
    <w:lvl w:ilvl="3">
      <w:start w:val="1"/>
      <w:numFmt w:val="decimal"/>
      <w:pStyle w:val="tl1"/>
      <w:suff w:val="space"/>
      <w:lvlText w:val="%4."/>
      <w:lvlJc w:val="left"/>
      <w:pPr>
        <w:ind w:left="993" w:firstLine="0"/>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upperRoman"/>
      <w:suff w:val="space"/>
      <w:lvlText w:val="Časť %7"/>
      <w:lvlJc w:val="center"/>
      <w:pPr>
        <w:ind w:left="0" w:firstLine="288"/>
      </w:pPr>
      <w:rPr>
        <w:rFonts w:ascii="Tahoma" w:hAnsi="Tahoma" w:hint="default"/>
        <w:b/>
        <w:i w:val="0"/>
        <w:sz w:val="24"/>
      </w:rPr>
    </w:lvl>
    <w:lvl w:ilvl="7">
      <w:start w:val="1"/>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9">
    <w:nsid w:val="5D7D42DC"/>
    <w:multiLevelType w:val="multilevel"/>
    <w:tmpl w:val="488CAD0E"/>
    <w:lvl w:ilvl="0">
      <w:start w:val="1"/>
      <w:numFmt w:val="upperRoman"/>
      <w:lvlText w:val="Článok %1."/>
      <w:lvlJc w:val="left"/>
      <w:pPr>
        <w:ind w:left="432" w:hanging="432"/>
      </w:pPr>
      <w:rPr>
        <w:rFonts w:hint="default"/>
        <w:b/>
        <w:i w:val="0"/>
      </w:rPr>
    </w:lvl>
    <w:lvl w:ilvl="1">
      <w:start w:val="1"/>
      <w:numFmt w:val="decimal"/>
      <w:isLgl/>
      <w:lvlText w:val="%1.%2"/>
      <w:lvlJc w:val="left"/>
      <w:pPr>
        <w:tabs>
          <w:tab w:val="num" w:pos="851"/>
        </w:tabs>
        <w:ind w:left="851" w:hanging="851"/>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0">
    <w:nsid w:val="66767D02"/>
    <w:multiLevelType w:val="multilevel"/>
    <w:tmpl w:val="09F0A728"/>
    <w:lvl w:ilvl="0">
      <w:start w:val="11"/>
      <w:numFmt w:val="decimal"/>
      <w:lvlText w:val="%1"/>
      <w:lvlJc w:val="left"/>
      <w:pPr>
        <w:ind w:left="420" w:hanging="420"/>
      </w:pPr>
      <w:rPr>
        <w:rFonts w:hint="default"/>
      </w:rPr>
    </w:lvl>
    <w:lvl w:ilvl="1">
      <w:start w:val="1"/>
      <w:numFmt w:val="decimal"/>
      <w:lvlText w:val="%1.%2"/>
      <w:lvlJc w:val="left"/>
      <w:pPr>
        <w:ind w:left="585" w:hanging="42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11">
    <w:nsid w:val="72212F1B"/>
    <w:multiLevelType w:val="multilevel"/>
    <w:tmpl w:val="7E9A7B3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val="0"/>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7C3722D6"/>
    <w:multiLevelType w:val="multilevel"/>
    <w:tmpl w:val="0A2C768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7D8246C1"/>
    <w:multiLevelType w:val="multilevel"/>
    <w:tmpl w:val="51745DF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F634AB0"/>
    <w:multiLevelType w:val="multilevel"/>
    <w:tmpl w:val="F1980D36"/>
    <w:lvl w:ilvl="0">
      <w:start w:val="12"/>
      <w:numFmt w:val="decimal"/>
      <w:lvlText w:val="%1"/>
      <w:lvlJc w:val="left"/>
      <w:pPr>
        <w:ind w:left="420" w:hanging="420"/>
      </w:pPr>
      <w:rPr>
        <w:rFonts w:hint="default"/>
      </w:rPr>
    </w:lvl>
    <w:lvl w:ilvl="1">
      <w:start w:val="1"/>
      <w:numFmt w:val="decimal"/>
      <w:lvlText w:val="%1.%2"/>
      <w:lvlJc w:val="left"/>
      <w:pPr>
        <w:ind w:left="585" w:hanging="42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num w:numId="1">
    <w:abstractNumId w:val="8"/>
  </w:num>
  <w:num w:numId="2">
    <w:abstractNumId w:val="1"/>
  </w:num>
  <w:num w:numId="3">
    <w:abstractNumId w:val="2"/>
  </w:num>
  <w:num w:numId="4">
    <w:abstractNumId w:val="4"/>
  </w:num>
  <w:num w:numId="5">
    <w:abstractNumId w:val="12"/>
  </w:num>
  <w:num w:numId="6">
    <w:abstractNumId w:val="11"/>
  </w:num>
  <w:num w:numId="7">
    <w:abstractNumId w:val="13"/>
  </w:num>
  <w:num w:numId="8">
    <w:abstractNumId w:val="3"/>
  </w:num>
  <w:num w:numId="9">
    <w:abstractNumId w:val="5"/>
  </w:num>
  <w:num w:numId="10">
    <w:abstractNumId w:val="10"/>
  </w:num>
  <w:num w:numId="11">
    <w:abstractNumId w:val="14"/>
  </w:num>
  <w:num w:numId="12">
    <w:abstractNumId w:val="6"/>
  </w:num>
  <w:num w:numId="13">
    <w:abstractNumId w:val="0"/>
  </w:num>
  <w:num w:numId="14">
    <w:abstractNumId w:val="9"/>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visionView w:inkAnnotations="0"/>
  <w:defaultTabStop w:val="708"/>
  <w:hyphenationZone w:val="425"/>
  <w:characterSpacingControl w:val="doNotCompress"/>
  <w:savePreviewPicture/>
  <w:footnotePr>
    <w:footnote w:id="-1"/>
    <w:footnote w:id="0"/>
  </w:footnotePr>
  <w:endnotePr>
    <w:endnote w:id="-1"/>
    <w:endnote w:id="0"/>
  </w:endnotePr>
  <w:compat/>
  <w:rsids>
    <w:rsidRoot w:val="006B473D"/>
    <w:rsid w:val="00174738"/>
    <w:rsid w:val="006B473D"/>
    <w:rsid w:val="00D96FE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B473D"/>
    <w:pPr>
      <w:spacing w:after="0" w:line="240" w:lineRule="auto"/>
    </w:pPr>
    <w:rPr>
      <w:rFonts w:ascii="Times New Roman" w:eastAsia="MS Mincho" w:hAnsi="Times New Roman" w:cs="Times New Roman"/>
      <w:sz w:val="24"/>
      <w:szCs w:val="24"/>
      <w:lang w:eastAsia="cs-CZ"/>
    </w:rPr>
  </w:style>
  <w:style w:type="paragraph" w:styleId="Nadpis8">
    <w:name w:val="heading 8"/>
    <w:aliases w:val=" action, action1, action2, action11, action3, action4, action5, action6, action7, action12, action21, action111, action31, action8, action13, action22, action112, action32, action9, action14, action23, action113, action33, action10, action15"/>
    <w:basedOn w:val="Normlny"/>
    <w:next w:val="Normlny"/>
    <w:link w:val="Nadpis8Char"/>
    <w:qFormat/>
    <w:rsid w:val="006B473D"/>
    <w:pPr>
      <w:spacing w:before="240" w:after="60"/>
      <w:outlineLvl w:val="7"/>
    </w:pPr>
    <w:rPr>
      <w:i/>
      <w:iCs/>
      <w:lang/>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aliases w:val=" action Char, action1 Char, action2 Char, action11 Char, action3 Char, action4 Char, action5 Char, action6 Char, action7 Char, action12 Char, action21 Char, action111 Char, action31 Char, action8 Char, action13 Char, action22 Char"/>
    <w:basedOn w:val="Predvolenpsmoodseku"/>
    <w:link w:val="Nadpis8"/>
    <w:rsid w:val="006B473D"/>
    <w:rPr>
      <w:rFonts w:ascii="Times New Roman" w:eastAsia="MS Mincho" w:hAnsi="Times New Roman" w:cs="Times New Roman"/>
      <w:i/>
      <w:iCs/>
      <w:sz w:val="24"/>
      <w:szCs w:val="24"/>
      <w:lang w:eastAsia="cs-CZ"/>
    </w:rPr>
  </w:style>
  <w:style w:type="paragraph" w:customStyle="1" w:styleId="tl1">
    <w:name w:val="Štýl1"/>
    <w:basedOn w:val="Normlny"/>
    <w:rsid w:val="006B473D"/>
    <w:pPr>
      <w:numPr>
        <w:ilvl w:val="3"/>
        <w:numId w:val="1"/>
      </w:numPr>
      <w:jc w:val="center"/>
    </w:pPr>
    <w:rPr>
      <w:rFonts w:ascii="Tahoma" w:hAnsi="Tahoma"/>
      <w:sz w:val="18"/>
      <w:lang w:eastAsia="sk-SK"/>
    </w:rPr>
  </w:style>
  <w:style w:type="paragraph" w:customStyle="1" w:styleId="CharChar2">
    <w:name w:val=" Char Char2"/>
    <w:basedOn w:val="Normlny"/>
    <w:link w:val="CharChar2Char"/>
    <w:rsid w:val="006B473D"/>
    <w:pPr>
      <w:spacing w:after="160" w:line="240" w:lineRule="exact"/>
      <w:ind w:firstLine="720"/>
    </w:pPr>
    <w:rPr>
      <w:rFonts w:ascii="Tahoma" w:eastAsia="Times New Roman" w:hAnsi="Tahoma"/>
      <w:sz w:val="20"/>
      <w:szCs w:val="20"/>
      <w:lang w:val="en-US" w:eastAsia="en-US"/>
    </w:rPr>
  </w:style>
  <w:style w:type="paragraph" w:styleId="Odsekzoznamu">
    <w:name w:val="List Paragraph"/>
    <w:aliases w:val="body,Odsek"/>
    <w:basedOn w:val="Normlny"/>
    <w:link w:val="OdsekzoznamuChar"/>
    <w:qFormat/>
    <w:rsid w:val="006B473D"/>
    <w:pPr>
      <w:ind w:left="708"/>
    </w:pPr>
    <w:rPr>
      <w:lang/>
    </w:rPr>
  </w:style>
  <w:style w:type="paragraph" w:customStyle="1" w:styleId="Default">
    <w:name w:val="Default"/>
    <w:rsid w:val="006B473D"/>
    <w:pPr>
      <w:autoSpaceDE w:val="0"/>
      <w:autoSpaceDN w:val="0"/>
      <w:adjustRightInd w:val="0"/>
      <w:spacing w:after="0" w:line="240" w:lineRule="auto"/>
    </w:pPr>
    <w:rPr>
      <w:rFonts w:ascii="Arial" w:eastAsia="MS Mincho" w:hAnsi="Arial" w:cs="Arial"/>
      <w:color w:val="000000"/>
      <w:sz w:val="24"/>
      <w:szCs w:val="24"/>
      <w:lang w:eastAsia="sk-SK"/>
    </w:rPr>
  </w:style>
  <w:style w:type="paragraph" w:customStyle="1" w:styleId="NADPIS">
    <w:name w:val="NADPIS"/>
    <w:uiPriority w:val="99"/>
    <w:rsid w:val="006B473D"/>
    <w:pPr>
      <w:widowControl w:val="0"/>
      <w:suppressAutoHyphens/>
      <w:spacing w:before="40" w:after="40" w:line="240" w:lineRule="auto"/>
      <w:jc w:val="center"/>
    </w:pPr>
    <w:rPr>
      <w:rFonts w:ascii="Times New Roman" w:eastAsia="Times New Roman" w:hAnsi="Times New Roman" w:cs="Times New Roman"/>
      <w:b/>
      <w:bCs/>
      <w:color w:val="000000"/>
      <w:sz w:val="24"/>
      <w:szCs w:val="24"/>
      <w:lang w:eastAsia="ar-SA"/>
    </w:rPr>
  </w:style>
  <w:style w:type="character" w:customStyle="1" w:styleId="CharChar2Char">
    <w:name w:val=" Char Char2 Char"/>
    <w:link w:val="CharChar2"/>
    <w:rsid w:val="006B473D"/>
    <w:rPr>
      <w:rFonts w:ascii="Tahoma" w:eastAsia="Times New Roman" w:hAnsi="Tahoma" w:cs="Times New Roman"/>
      <w:sz w:val="20"/>
      <w:szCs w:val="20"/>
      <w:lang w:val="en-US"/>
    </w:rPr>
  </w:style>
  <w:style w:type="character" w:customStyle="1" w:styleId="OdsekzoznamuChar">
    <w:name w:val="Odsek zoznamu Char"/>
    <w:aliases w:val="body Char,Odsek Char"/>
    <w:link w:val="Odsekzoznamu"/>
    <w:locked/>
    <w:rsid w:val="006B473D"/>
    <w:rPr>
      <w:rFonts w:ascii="Times New Roman" w:eastAsia="MS Mincho" w:hAnsi="Times New Roman" w:cs="Times New Roman"/>
      <w:sz w:val="24"/>
      <w:szCs w:val="24"/>
      <w:lang w:eastAsia="cs-CZ"/>
    </w:rPr>
  </w:style>
  <w:style w:type="paragraph" w:customStyle="1" w:styleId="Nadpis81">
    <w:name w:val="Nadpis 81"/>
    <w:uiPriority w:val="99"/>
    <w:rsid w:val="006B473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Hlavika">
    <w:name w:val="header"/>
    <w:basedOn w:val="Normlny"/>
    <w:link w:val="HlavikaChar"/>
    <w:uiPriority w:val="99"/>
    <w:semiHidden/>
    <w:unhideWhenUsed/>
    <w:rsid w:val="006B473D"/>
    <w:pPr>
      <w:tabs>
        <w:tab w:val="center" w:pos="4536"/>
        <w:tab w:val="right" w:pos="9072"/>
      </w:tabs>
    </w:pPr>
  </w:style>
  <w:style w:type="character" w:customStyle="1" w:styleId="HlavikaChar">
    <w:name w:val="Hlavička Char"/>
    <w:basedOn w:val="Predvolenpsmoodseku"/>
    <w:link w:val="Hlavika"/>
    <w:uiPriority w:val="99"/>
    <w:semiHidden/>
    <w:rsid w:val="006B473D"/>
    <w:rPr>
      <w:rFonts w:ascii="Times New Roman" w:eastAsia="MS Mincho" w:hAnsi="Times New Roman" w:cs="Times New Roman"/>
      <w:sz w:val="24"/>
      <w:szCs w:val="24"/>
      <w:lang w:eastAsia="cs-CZ"/>
    </w:rPr>
  </w:style>
  <w:style w:type="paragraph" w:styleId="Pta">
    <w:name w:val="footer"/>
    <w:basedOn w:val="Normlny"/>
    <w:link w:val="PtaChar"/>
    <w:uiPriority w:val="99"/>
    <w:unhideWhenUsed/>
    <w:rsid w:val="006B473D"/>
    <w:pPr>
      <w:tabs>
        <w:tab w:val="center" w:pos="4536"/>
        <w:tab w:val="right" w:pos="9072"/>
      </w:tabs>
    </w:pPr>
  </w:style>
  <w:style w:type="character" w:customStyle="1" w:styleId="PtaChar">
    <w:name w:val="Päta Char"/>
    <w:basedOn w:val="Predvolenpsmoodseku"/>
    <w:link w:val="Pta"/>
    <w:uiPriority w:val="99"/>
    <w:rsid w:val="006B473D"/>
    <w:rPr>
      <w:rFonts w:ascii="Times New Roman" w:eastAsia="MS Mincho"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2163</Words>
  <Characters>12335</Characters>
  <Application>Microsoft Office Word</Application>
  <DocSecurity>0</DocSecurity>
  <Lines>102</Lines>
  <Paragraphs>28</Paragraphs>
  <ScaleCrop>false</ScaleCrop>
  <Company/>
  <LinksUpToDate>false</LinksUpToDate>
  <CharactersWithSpaces>14470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lbobrova</dc:creator>
  <cp:lastModifiedBy>lbobrova</cp:lastModifiedBy>
  <cp:revision>1</cp:revision>
  <dcterms:created xsi:type="dcterms:W3CDTF">2018-11-05T13:18:00Z</dcterms:created>
  <dcterms:modified xsi:type="dcterms:W3CDTF">2018-11-05T13:22:00Z</dcterms:modified>
</cp:coreProperties>
</file>