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uzatvorená podľa ustanovení § 409 zákona č.513/1991 </w:t>
      </w:r>
      <w:proofErr w:type="spellStart"/>
      <w:r w:rsidRPr="00E143FE">
        <w:rPr>
          <w:rFonts w:cstheme="minorHAnsi"/>
          <w:sz w:val="20"/>
          <w:szCs w:val="20"/>
        </w:rPr>
        <w:t>Z.z</w:t>
      </w:r>
      <w:proofErr w:type="spellEnd"/>
      <w:r w:rsidRPr="00E143FE">
        <w:rPr>
          <w:rFonts w:cstheme="minorHAnsi"/>
          <w:sz w:val="20"/>
          <w:szCs w:val="20"/>
        </w:rPr>
        <w:t xml:space="preserve">. v znení neskorších predpisov (Obchodný zákonník) a ustanovení zákona č.343/2015 </w:t>
      </w:r>
      <w:proofErr w:type="spellStart"/>
      <w:r w:rsidRPr="00E143FE">
        <w:rPr>
          <w:rFonts w:cstheme="minorHAnsi"/>
          <w:sz w:val="20"/>
          <w:szCs w:val="20"/>
        </w:rPr>
        <w:t>Z.z</w:t>
      </w:r>
      <w:proofErr w:type="spellEnd"/>
      <w:r w:rsidRPr="00E143FE">
        <w:rPr>
          <w:rFonts w:cstheme="minorHAnsi"/>
          <w:sz w:val="20"/>
          <w:szCs w:val="20"/>
        </w:rPr>
        <w:t>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 xml:space="preserve">Psychiatrická nemocnica </w:t>
      </w:r>
      <w:proofErr w:type="spellStart"/>
      <w:r w:rsidRPr="00094137">
        <w:rPr>
          <w:rFonts w:cstheme="minorHAnsi"/>
          <w:color w:val="000000"/>
          <w:sz w:val="20"/>
          <w:szCs w:val="20"/>
        </w:rPr>
        <w:t>Philippa</w:t>
      </w:r>
      <w:proofErr w:type="spellEnd"/>
      <w:r w:rsidRPr="00094137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094137">
        <w:rPr>
          <w:rFonts w:cstheme="minorHAnsi"/>
          <w:color w:val="000000"/>
          <w:sz w:val="20"/>
          <w:szCs w:val="20"/>
        </w:rPr>
        <w:t>Pinela</w:t>
      </w:r>
      <w:proofErr w:type="spellEnd"/>
      <w:r w:rsidRPr="00094137">
        <w:rPr>
          <w:rFonts w:cstheme="minorHAnsi"/>
          <w:color w:val="000000"/>
          <w:sz w:val="20"/>
          <w:szCs w:val="20"/>
        </w:rPr>
        <w:t xml:space="preserve">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proofErr w:type="spellStart"/>
      <w:r w:rsidRPr="00094137">
        <w:rPr>
          <w:rFonts w:eastAsia="Times New Roman" w:cstheme="minorHAnsi"/>
          <w:sz w:val="20"/>
          <w:szCs w:val="20"/>
          <w:lang w:eastAsia="cs-CZ"/>
        </w:rPr>
        <w:t>neplatca</w:t>
      </w:r>
      <w:proofErr w:type="spellEnd"/>
      <w:r w:rsidRPr="00094137">
        <w:rPr>
          <w:rFonts w:eastAsia="Times New Roman" w:cstheme="minorHAnsi"/>
          <w:sz w:val="20"/>
          <w:szCs w:val="20"/>
          <w:lang w:eastAsia="cs-CZ"/>
        </w:rPr>
        <w:t xml:space="preserve">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74B7C14B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EB5572">
        <w:rPr>
          <w:rFonts w:cstheme="minorHAnsi"/>
          <w:b/>
          <w:sz w:val="20"/>
          <w:szCs w:val="20"/>
        </w:rPr>
        <w:t xml:space="preserve">základné a dlhodobo skladovateľné </w:t>
      </w:r>
      <w:proofErr w:type="spellStart"/>
      <w:r w:rsidR="00EB5572">
        <w:rPr>
          <w:rFonts w:cstheme="minorHAnsi"/>
          <w:b/>
          <w:sz w:val="20"/>
          <w:szCs w:val="20"/>
        </w:rPr>
        <w:t>poraviny</w:t>
      </w:r>
      <w:proofErr w:type="spellEnd"/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</w:t>
      </w:r>
      <w:r w:rsidR="00F15F47" w:rsidRPr="00E143FE">
        <w:rPr>
          <w:rFonts w:cstheme="minorHAnsi"/>
          <w:sz w:val="20"/>
          <w:szCs w:val="20"/>
        </w:rPr>
        <w:lastRenderedPageBreak/>
        <w:t>potravinám a záväzok kupujúceho 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724F43" w:rsidRPr="00724F43">
        <w:rPr>
          <w:rFonts w:cstheme="minorHAnsi"/>
          <w:bCs/>
          <w:sz w:val="20"/>
          <w:szCs w:val="20"/>
        </w:rPr>
        <w:t xml:space="preserve"> </w:t>
      </w:r>
      <w:r w:rsidR="00A75D27">
        <w:rPr>
          <w:rFonts w:cstheme="minorHAnsi"/>
          <w:bCs/>
          <w:sz w:val="20"/>
          <w:szCs w:val="20"/>
        </w:rPr>
        <w:t>jeden</w:t>
      </w:r>
      <w:r w:rsidR="00724F43" w:rsidRPr="00724F43">
        <w:rPr>
          <w:rFonts w:cstheme="minorHAnsi"/>
          <w:bCs/>
          <w:sz w:val="20"/>
          <w:szCs w:val="20"/>
        </w:rPr>
        <w:t xml:space="preserve"> krát týždenne, a</w:t>
      </w:r>
      <w:r w:rsidR="00A75D27">
        <w:rPr>
          <w:rFonts w:cstheme="minorHAnsi"/>
          <w:bCs/>
          <w:sz w:val="20"/>
          <w:szCs w:val="20"/>
        </w:rPr>
        <w:t> vždy v stredu</w:t>
      </w:r>
      <w:r w:rsidR="00724F43" w:rsidRPr="00724F43">
        <w:rPr>
          <w:rFonts w:cstheme="minorHAnsi"/>
          <w:bCs/>
          <w:sz w:val="20"/>
          <w:szCs w:val="20"/>
        </w:rPr>
        <w:t>, 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FB4EF4E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 xml:space="preserve">Bc. </w:t>
      </w:r>
      <w:proofErr w:type="spellStart"/>
      <w:r w:rsidR="00D10D05">
        <w:rPr>
          <w:rFonts w:cstheme="minorHAnsi"/>
          <w:sz w:val="20"/>
          <w:szCs w:val="20"/>
        </w:rPr>
        <w:t>Lydia</w:t>
      </w:r>
      <w:proofErr w:type="spellEnd"/>
      <w:r w:rsidR="00D10D05">
        <w:rPr>
          <w:rFonts w:cstheme="minorHAnsi"/>
          <w:sz w:val="20"/>
          <w:szCs w:val="20"/>
        </w:rPr>
        <w:t xml:space="preserve">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193A0530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43F6A9E3" w14:textId="77777777" w:rsidR="006612FE" w:rsidRPr="006612FE" w:rsidRDefault="006612FE" w:rsidP="006612FE">
      <w:pPr>
        <w:pStyle w:val="Odsekzoznamu"/>
        <w:rPr>
          <w:rFonts w:cstheme="minorHAnsi"/>
          <w:sz w:val="20"/>
          <w:szCs w:val="20"/>
        </w:rPr>
      </w:pPr>
    </w:p>
    <w:p w14:paraId="24EDE790" w14:textId="1B2FB5DB" w:rsidR="004B35F4" w:rsidRDefault="006612FE" w:rsidP="00C43D65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10605373" w14:textId="77777777" w:rsidR="006612FE" w:rsidRPr="006612FE" w:rsidRDefault="006612FE" w:rsidP="006612F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6C4973EC" w14:textId="40FFF776" w:rsidR="00180488" w:rsidRPr="004F49D6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doručovania prostredníctvom Slovenskej pošty, </w:t>
      </w:r>
      <w:proofErr w:type="spellStart"/>
      <w:r w:rsidRPr="00E143FE">
        <w:rPr>
          <w:rFonts w:cstheme="minorHAnsi"/>
          <w:sz w:val="20"/>
          <w:szCs w:val="20"/>
        </w:rPr>
        <w:t>a.s</w:t>
      </w:r>
      <w:proofErr w:type="spellEnd"/>
      <w:r w:rsidRPr="00E143FE">
        <w:rPr>
          <w:rFonts w:cstheme="minorHAnsi"/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148EE839" w14:textId="365A1BCB" w:rsidR="00AF3ABC" w:rsidRPr="00C74F5E" w:rsidRDefault="00472149" w:rsidP="00C74F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4F49D6">
        <w:rPr>
          <w:rFonts w:cstheme="minorHAnsi"/>
          <w:b/>
          <w:sz w:val="20"/>
          <w:szCs w:val="20"/>
        </w:rPr>
        <w:t xml:space="preserve">Základné a dlhodobo skladovateľné </w:t>
      </w:r>
      <w:proofErr w:type="spellStart"/>
      <w:r w:rsidR="004F49D6">
        <w:rPr>
          <w:rFonts w:cstheme="minorHAnsi"/>
          <w:b/>
          <w:sz w:val="20"/>
          <w:szCs w:val="20"/>
        </w:rPr>
        <w:t>poraviny</w:t>
      </w:r>
      <w:proofErr w:type="spellEnd"/>
      <w:r w:rsidR="00B96DBD" w:rsidRPr="00E143FE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B292F"/>
    <w:rsid w:val="0013277F"/>
    <w:rsid w:val="00133991"/>
    <w:rsid w:val="00153C65"/>
    <w:rsid w:val="00180488"/>
    <w:rsid w:val="00181911"/>
    <w:rsid w:val="001C4C50"/>
    <w:rsid w:val="002376BC"/>
    <w:rsid w:val="00243CF9"/>
    <w:rsid w:val="00282D86"/>
    <w:rsid w:val="002E4A0E"/>
    <w:rsid w:val="002E609B"/>
    <w:rsid w:val="00315DFF"/>
    <w:rsid w:val="0045276C"/>
    <w:rsid w:val="0047055E"/>
    <w:rsid w:val="00472149"/>
    <w:rsid w:val="004B1015"/>
    <w:rsid w:val="004B35F4"/>
    <w:rsid w:val="004F49D6"/>
    <w:rsid w:val="006612FE"/>
    <w:rsid w:val="006616D7"/>
    <w:rsid w:val="006657DE"/>
    <w:rsid w:val="00671268"/>
    <w:rsid w:val="006741CE"/>
    <w:rsid w:val="00695ACA"/>
    <w:rsid w:val="006A320E"/>
    <w:rsid w:val="00724F43"/>
    <w:rsid w:val="0076538D"/>
    <w:rsid w:val="00780466"/>
    <w:rsid w:val="00794C02"/>
    <w:rsid w:val="007C698B"/>
    <w:rsid w:val="007D7014"/>
    <w:rsid w:val="008228DB"/>
    <w:rsid w:val="008317C6"/>
    <w:rsid w:val="00876A37"/>
    <w:rsid w:val="00893565"/>
    <w:rsid w:val="0089465E"/>
    <w:rsid w:val="009060F5"/>
    <w:rsid w:val="009525A8"/>
    <w:rsid w:val="009C1555"/>
    <w:rsid w:val="009E3B24"/>
    <w:rsid w:val="00A31A84"/>
    <w:rsid w:val="00A65AFC"/>
    <w:rsid w:val="00A75D27"/>
    <w:rsid w:val="00AB3984"/>
    <w:rsid w:val="00AC121B"/>
    <w:rsid w:val="00AF3ABC"/>
    <w:rsid w:val="00B4771C"/>
    <w:rsid w:val="00B96DBD"/>
    <w:rsid w:val="00BA581A"/>
    <w:rsid w:val="00C315D1"/>
    <w:rsid w:val="00C34EB5"/>
    <w:rsid w:val="00C35CCB"/>
    <w:rsid w:val="00C43D65"/>
    <w:rsid w:val="00C74F5E"/>
    <w:rsid w:val="00CE2067"/>
    <w:rsid w:val="00D01F7A"/>
    <w:rsid w:val="00D10D05"/>
    <w:rsid w:val="00D26466"/>
    <w:rsid w:val="00D46A79"/>
    <w:rsid w:val="00DC46D7"/>
    <w:rsid w:val="00DE5750"/>
    <w:rsid w:val="00E143FE"/>
    <w:rsid w:val="00EA71A8"/>
    <w:rsid w:val="00EB5572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38</cp:revision>
  <cp:lastPrinted>2018-05-03T07:14:00Z</cp:lastPrinted>
  <dcterms:created xsi:type="dcterms:W3CDTF">2018-05-03T06:56:00Z</dcterms:created>
  <dcterms:modified xsi:type="dcterms:W3CDTF">2021-10-14T10:41:00Z</dcterms:modified>
</cp:coreProperties>
</file>