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zúčtovateľovi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9A100C6"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5A8E1E1D" w:rsidRPr="0F3C75E4">
        <w:rPr>
          <w:rFonts w:ascii="Corbel" w:hAnsi="Corbel" w:cs="Cambria"/>
          <w:color w:val="000000" w:themeColor="text1"/>
          <w:sz w:val="22"/>
          <w:szCs w:val="22"/>
        </w:rPr>
        <w:t>2</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4E7E2576"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47B8F50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363974" w:rsidRPr="008F2A4F">
        <w:rPr>
          <w:rFonts w:ascii="Corbel" w:hAnsi="Corbel" w:cs="Arial"/>
          <w:b/>
          <w:bCs/>
        </w:rPr>
        <w:t>16 533</w:t>
      </w:r>
      <w:r w:rsidR="00363974">
        <w:rPr>
          <w:rFonts w:ascii="Corbel" w:hAnsi="Corbel" w:cs="Arial"/>
          <w:b/>
          <w:bCs/>
        </w:rPr>
        <w:t>,</w:t>
      </w:r>
      <w:r w:rsidR="00363974" w:rsidRPr="008F2A4F">
        <w:rPr>
          <w:rFonts w:ascii="Corbel" w:hAnsi="Corbel" w:cs="Arial"/>
          <w:b/>
          <w:bCs/>
        </w:rPr>
        <w:t>964</w:t>
      </w:r>
      <w:r w:rsidR="00363974" w:rsidRPr="007D6887">
        <w:rPr>
          <w:rFonts w:ascii="Corbel" w:hAnsi="Corbel" w:cs="Arial"/>
        </w:rPr>
        <w:t xml:space="preserve"> </w:t>
      </w:r>
      <w:r w:rsidRPr="00391DF7">
        <w:rPr>
          <w:rFonts w:ascii="Corbel" w:hAnsi="Corbel" w:cs="Cambria"/>
          <w:color w:val="000000"/>
          <w:sz w:val="22"/>
          <w:szCs w:val="22"/>
        </w:rPr>
        <w:t xml:space="preserve"> </w:t>
      </w:r>
      <w:r w:rsidR="001A2B91" w:rsidRPr="00391DF7">
        <w:rPr>
          <w:rFonts w:ascii="Corbel" w:hAnsi="Corbel" w:cs="Cambria"/>
          <w:b/>
          <w:color w:val="000000"/>
          <w:sz w:val="22"/>
          <w:szCs w:val="22"/>
        </w:rPr>
        <w:t>MWh/rok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7B18185B"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711F11AF" w:rsidR="00DB4BAE" w:rsidRPr="00683995" w:rsidRDefault="00DB4BAE" w:rsidP="00DB4BAE">
      <w:pPr>
        <w:autoSpaceDE w:val="0"/>
        <w:autoSpaceDN w:val="0"/>
        <w:adjustRightInd w:val="0"/>
        <w:jc w:val="both"/>
        <w:rPr>
          <w:rFonts w:ascii="Corbel" w:hAnsi="Corbel" w:cs="Cambria"/>
          <w:color w:val="FF0000"/>
          <w:sz w:val="22"/>
          <w:szCs w:val="22"/>
        </w:rPr>
      </w:pPr>
      <w:r w:rsidRPr="00683995">
        <w:rPr>
          <w:rFonts w:ascii="Corbel" w:hAnsi="Corbel" w:cs="Cambria"/>
          <w:color w:val="FF0000"/>
          <w:sz w:val="22"/>
          <w:szCs w:val="22"/>
        </w:rPr>
        <w:t xml:space="preserve">4.5 </w:t>
      </w:r>
      <w:r w:rsidR="00683995" w:rsidRPr="00683995">
        <w:rPr>
          <w:rFonts w:ascii="Corbel" w:hAnsi="Corbel" w:cs="Cambria"/>
          <w:color w:val="FF0000"/>
          <w:sz w:val="22"/>
          <w:szCs w:val="22"/>
        </w:rPr>
        <w:t>Odberateľ deklaruje, že ak nenastanú nepredvídané okolnosti, tak bude odoberať minimálne 80% a maximálne 120% objednaného plynu. Dodávateľ má právo pri nedodržaní týchto minimálnych a maximálnych množstiev účtovať Odberateľovi kompenzáciu vo výške 20% z ceny plynu podľa bodu 4.2 za každú MWh kladného alebo záporného rozdielu odobratého plynu oproti týmto bodom stanovenej percentuálnej hodnote predpokladaného množstva uvedeného v prílohe č. 1</w:t>
      </w:r>
      <w:r w:rsidR="00683995" w:rsidRPr="00683995">
        <w:rPr>
          <w:rFonts w:ascii="Corbel" w:hAnsi="Corbel" w:cs="Cambria"/>
          <w:color w:val="FF0000"/>
          <w:sz w:val="22"/>
          <w:szCs w:val="22"/>
        </w:rPr>
        <w:t>.</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0C85B59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4.6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62E78C1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SpD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6A64388A" w:rsidR="00DB4BAE" w:rsidRDefault="3936137F" w:rsidP="00DB4BAE">
      <w:pPr>
        <w:autoSpaceDE w:val="0"/>
        <w:autoSpaceDN w:val="0"/>
        <w:adjustRightInd w:val="0"/>
        <w:jc w:val="both"/>
        <w:rPr>
          <w:rFonts w:ascii="Corbel" w:hAnsi="Corbel" w:cs="Cambria"/>
          <w:color w:val="000000" w:themeColor="text1"/>
          <w:sz w:val="22"/>
          <w:szCs w:val="22"/>
        </w:rPr>
      </w:pPr>
      <w:r w:rsidRPr="0F3C75E4">
        <w:rPr>
          <w:rFonts w:ascii="Corbel" w:hAnsi="Corbel" w:cs="Cambria"/>
          <w:color w:val="000000" w:themeColor="text1"/>
          <w:sz w:val="22"/>
          <w:szCs w:val="22"/>
        </w:rPr>
        <w:t xml:space="preserve">4.9.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21D9EE96" w14:textId="40A2ABE9" w:rsidR="00A76E55" w:rsidRDefault="00A76E55" w:rsidP="00DB4BAE">
      <w:pPr>
        <w:autoSpaceDE w:val="0"/>
        <w:autoSpaceDN w:val="0"/>
        <w:adjustRightInd w:val="0"/>
        <w:jc w:val="both"/>
        <w:rPr>
          <w:rFonts w:ascii="Corbel" w:hAnsi="Corbel" w:cs="Cambria"/>
          <w:color w:val="000000" w:themeColor="text1"/>
          <w:sz w:val="22"/>
          <w:szCs w:val="22"/>
        </w:rPr>
      </w:pPr>
    </w:p>
    <w:p w14:paraId="3BA9E50F" w14:textId="303FE01E" w:rsidR="00A76E55" w:rsidRPr="00A76E55" w:rsidRDefault="00A76E55" w:rsidP="00A76E55">
      <w:pPr>
        <w:autoSpaceDE w:val="0"/>
        <w:autoSpaceDN w:val="0"/>
        <w:adjustRightInd w:val="0"/>
        <w:jc w:val="both"/>
        <w:rPr>
          <w:rFonts w:ascii="Corbel" w:hAnsi="Corbel" w:cs="Cambria"/>
          <w:color w:val="FF0000"/>
          <w:sz w:val="22"/>
          <w:szCs w:val="22"/>
        </w:rPr>
      </w:pPr>
      <w:r w:rsidRPr="00A76E55">
        <w:rPr>
          <w:rFonts w:ascii="Corbel" w:hAnsi="Corbel" w:cs="Cambria"/>
          <w:color w:val="FF0000"/>
          <w:sz w:val="22"/>
          <w:szCs w:val="22"/>
        </w:rPr>
        <w:t>4.10 V prípade, ak sa po uzatvorení tejto Zmluvy preukáže, že na relevantnom trhu existuje cena (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vyšší ako 5% v neprospech ceny podľa tejto Zmluvy, zaväzuje sa dodávateľ poskytnúť odberateľovi pre takéto plnenie objednané po preukázaní tejto skutočnosti dodatočnú zľavu vo výške rozdielu medzi ním poskytovanou cenou podľa tejto Zmluvy a nižšou cenou.</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70C6229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1</w:t>
      </w:r>
      <w:r w:rsidRPr="0F3C75E4">
        <w:rPr>
          <w:rFonts w:ascii="Corbel" w:hAnsi="Corbel" w:cs="Cambria"/>
          <w:color w:val="000000" w:themeColor="text1"/>
          <w:sz w:val="22"/>
          <w:szCs w:val="22"/>
        </w:rPr>
        <w:t xml:space="preserve">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1186102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A76E55">
        <w:rPr>
          <w:rFonts w:ascii="Corbel" w:hAnsi="Corbel" w:cs="Cambria"/>
          <w:color w:val="000000"/>
          <w:sz w:val="22"/>
          <w:szCs w:val="22"/>
        </w:rPr>
        <w:t>2</w:t>
      </w:r>
      <w:r w:rsidRPr="00391DF7">
        <w:rPr>
          <w:rFonts w:ascii="Corbel" w:hAnsi="Corbel" w:cs="Cambria"/>
          <w:color w:val="000000"/>
          <w:sz w:val="22"/>
          <w:szCs w:val="22"/>
        </w:rPr>
        <w:t xml:space="preserve">.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492CC5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A76E55">
        <w:rPr>
          <w:rFonts w:ascii="Corbel" w:hAnsi="Corbel" w:cs="Cambria"/>
          <w:color w:val="000000"/>
          <w:sz w:val="22"/>
          <w:szCs w:val="22"/>
        </w:rPr>
        <w:t>3</w:t>
      </w:r>
      <w:r w:rsidRPr="00391DF7">
        <w:rPr>
          <w:rFonts w:ascii="Corbel" w:hAnsi="Corbel" w:cs="Cambria"/>
          <w:color w:val="000000"/>
          <w:sz w:val="22"/>
          <w:szCs w:val="22"/>
        </w:rPr>
        <w:t xml:space="preserve">.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02935D3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A76E5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v prípade odberných miest s priebehovým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281AD4DA"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5</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33FE0F0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4.1</w:t>
      </w:r>
      <w:r w:rsidR="00A76E55">
        <w:rPr>
          <w:rFonts w:ascii="Corbel" w:hAnsi="Corbel" w:cs="Cambria"/>
          <w:color w:val="000000" w:themeColor="text1"/>
          <w:sz w:val="22"/>
          <w:szCs w:val="22"/>
        </w:rPr>
        <w:t>6</w:t>
      </w:r>
      <w:r w:rsidRPr="0F3C75E4">
        <w:rPr>
          <w:rFonts w:ascii="Corbel" w:hAnsi="Corbel" w:cs="Cambria"/>
          <w:color w:val="000000" w:themeColor="text1"/>
          <w:sz w:val="22"/>
          <w:szCs w:val="22"/>
        </w:rPr>
        <w:t xml:space="preserve">.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20B4223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7</w:t>
      </w:r>
      <w:r w:rsidRPr="0F3C75E4">
        <w:rPr>
          <w:rFonts w:ascii="Corbel" w:hAnsi="Corbel" w:cs="Cambria"/>
          <w:color w:val="000000" w:themeColor="text1"/>
          <w:sz w:val="22"/>
          <w:szCs w:val="22"/>
        </w:rPr>
        <w:t xml:space="preserve">.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7EFB42A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8</w:t>
      </w:r>
      <w:r w:rsidRPr="0F3C75E4">
        <w:rPr>
          <w:rFonts w:ascii="Corbel" w:hAnsi="Corbel" w:cs="Cambria"/>
          <w:color w:val="000000" w:themeColor="text1"/>
          <w:sz w:val="22"/>
          <w:szCs w:val="22"/>
        </w:rPr>
        <w:t xml:space="preserve">.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3366EC9B"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76E55">
        <w:rPr>
          <w:rFonts w:ascii="Corbel" w:hAnsi="Corbel" w:cs="Cambria"/>
          <w:color w:val="000000" w:themeColor="text1"/>
          <w:sz w:val="22"/>
          <w:szCs w:val="22"/>
        </w:rPr>
        <w:t>9</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6BEEB5DF"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w:t>
      </w:r>
      <w:r w:rsidR="00A76E55">
        <w:rPr>
          <w:rFonts w:ascii="Corbel" w:hAnsi="Corbel" w:cs="Cambria"/>
          <w:color w:val="000000"/>
          <w:sz w:val="22"/>
          <w:szCs w:val="22"/>
        </w:rPr>
        <w:t>20</w:t>
      </w:r>
      <w:r w:rsidRPr="00BE5784">
        <w:rPr>
          <w:rFonts w:ascii="Corbel" w:hAnsi="Corbel" w:cs="Cambria"/>
          <w:color w:val="000000"/>
          <w:sz w:val="22"/>
          <w:szCs w:val="22"/>
        </w:rPr>
        <w:t>.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5FF5D8E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w:t>
      </w:r>
      <w:r w:rsidR="00A76E55">
        <w:rPr>
          <w:rFonts w:ascii="Corbel" w:hAnsi="Corbel" w:cs="Cambria"/>
          <w:color w:val="000000"/>
          <w:sz w:val="22"/>
          <w:szCs w:val="22"/>
        </w:rPr>
        <w:t>1</w:t>
      </w:r>
      <w:r w:rsidRPr="00391DF7">
        <w:rPr>
          <w:rFonts w:ascii="Corbel" w:hAnsi="Corbel" w:cs="Cambria"/>
          <w:color w:val="000000"/>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3A658DB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A76E55">
        <w:rPr>
          <w:rFonts w:ascii="Corbel" w:hAnsi="Corbel" w:cs="Cambria"/>
          <w:color w:val="000000"/>
          <w:sz w:val="22"/>
          <w:szCs w:val="22"/>
        </w:rPr>
        <w:t>2</w:t>
      </w:r>
      <w:r w:rsidR="00A7779E">
        <w:rPr>
          <w:rFonts w:ascii="Corbel" w:hAnsi="Corbel" w:cs="Cambria"/>
          <w:color w:val="000000"/>
          <w:sz w:val="22"/>
          <w:szCs w:val="22"/>
        </w:rPr>
        <w:t>.</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A64BA7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6B1DD9">
        <w:rPr>
          <w:rFonts w:ascii="Corbel" w:hAnsi="Corbel" w:cs="Cambria"/>
          <w:color w:val="000000"/>
          <w:sz w:val="22"/>
          <w:szCs w:val="22"/>
        </w:rPr>
        <w:t>2</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3363459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F3C75E4">
        <w:rPr>
          <w:rFonts w:ascii="Corbel" w:hAnsi="Corbel" w:cs="Cambria"/>
          <w:color w:val="000000" w:themeColor="text1"/>
          <w:sz w:val="22"/>
          <w:szCs w:val="22"/>
        </w:rPr>
        <w:t xml:space="preserve">Dodávateľ sa zaväzuje zabezpečiť distribučné služby do OM </w:t>
      </w:r>
      <w:r w:rsidR="0BE72CAA" w:rsidRPr="0F3C75E4">
        <w:rPr>
          <w:rFonts w:ascii="Corbel" w:hAnsi="Corbel" w:cs="Cambria"/>
          <w:color w:val="000000" w:themeColor="text1"/>
          <w:sz w:val="22"/>
          <w:szCs w:val="22"/>
        </w:rPr>
        <w:t>o</w:t>
      </w:r>
      <w:r w:rsidR="10F2B801" w:rsidRPr="0F3C75E4">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17B184C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rezervované kapacity (ďalej len „RK“)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Prekročenie dohodnutej RK 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21E35197"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v detaile podľa požiadaviek odberateľa (najmä EIC,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191ABFDF"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Dodávateľ sa zaväzuje zasielať odberateľovi pravidelne raz za 3 mesiace aktualizovanú špecifikáciu odberných miest, ktorá obsahuje EIC,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(t.j.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.1. Odberateľ prehlasuje, že je vlastníkom v Zmluve uvedených odberných zariadení pripojených k distribučnej sústave alebo má odberné zariadenia v nájme na základe platnej nájomnej zmluvy. </w:t>
      </w:r>
      <w:r w:rsidRPr="00391DF7">
        <w:rPr>
          <w:rFonts w:ascii="Corbel" w:hAnsi="Corbel" w:cs="Cambria"/>
          <w:color w:val="000000"/>
          <w:sz w:val="22"/>
          <w:szCs w:val="22"/>
        </w:rPr>
        <w:lastRenderedPageBreak/>
        <w:t>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127CB"/>
    <w:rsid w:val="001272FC"/>
    <w:rsid w:val="001279E5"/>
    <w:rsid w:val="00137EFC"/>
    <w:rsid w:val="00145220"/>
    <w:rsid w:val="00163D12"/>
    <w:rsid w:val="001A05E0"/>
    <w:rsid w:val="001A2B91"/>
    <w:rsid w:val="001A7EDE"/>
    <w:rsid w:val="001ACB7D"/>
    <w:rsid w:val="00202DA4"/>
    <w:rsid w:val="002131D9"/>
    <w:rsid w:val="00224226"/>
    <w:rsid w:val="00225761"/>
    <w:rsid w:val="00233B2F"/>
    <w:rsid w:val="00295820"/>
    <w:rsid w:val="0032790F"/>
    <w:rsid w:val="0033691F"/>
    <w:rsid w:val="00363974"/>
    <w:rsid w:val="003666D9"/>
    <w:rsid w:val="00371DE3"/>
    <w:rsid w:val="0037255F"/>
    <w:rsid w:val="00386BAD"/>
    <w:rsid w:val="00389F35"/>
    <w:rsid w:val="00391DF7"/>
    <w:rsid w:val="003C246F"/>
    <w:rsid w:val="003D65F2"/>
    <w:rsid w:val="00456830"/>
    <w:rsid w:val="00485134"/>
    <w:rsid w:val="004A0692"/>
    <w:rsid w:val="004B4A37"/>
    <w:rsid w:val="004D0E65"/>
    <w:rsid w:val="004E0105"/>
    <w:rsid w:val="004E04A7"/>
    <w:rsid w:val="005179C2"/>
    <w:rsid w:val="005204D5"/>
    <w:rsid w:val="005243B7"/>
    <w:rsid w:val="005365FE"/>
    <w:rsid w:val="00574572"/>
    <w:rsid w:val="0057701D"/>
    <w:rsid w:val="00582FF7"/>
    <w:rsid w:val="005C24F8"/>
    <w:rsid w:val="005C5C6A"/>
    <w:rsid w:val="005D6BA6"/>
    <w:rsid w:val="005E6EAC"/>
    <w:rsid w:val="00626D21"/>
    <w:rsid w:val="00674C9E"/>
    <w:rsid w:val="00683995"/>
    <w:rsid w:val="006B1DD9"/>
    <w:rsid w:val="006C4DEC"/>
    <w:rsid w:val="006D2233"/>
    <w:rsid w:val="006D28CE"/>
    <w:rsid w:val="006E2BD4"/>
    <w:rsid w:val="007871C3"/>
    <w:rsid w:val="0079756A"/>
    <w:rsid w:val="007A2D40"/>
    <w:rsid w:val="007B1FE8"/>
    <w:rsid w:val="007B509D"/>
    <w:rsid w:val="007C0F82"/>
    <w:rsid w:val="007D55AB"/>
    <w:rsid w:val="007F3E24"/>
    <w:rsid w:val="007F55F6"/>
    <w:rsid w:val="00812BED"/>
    <w:rsid w:val="00833C16"/>
    <w:rsid w:val="008A5173"/>
    <w:rsid w:val="008E0A68"/>
    <w:rsid w:val="009021B7"/>
    <w:rsid w:val="00906489"/>
    <w:rsid w:val="00906C75"/>
    <w:rsid w:val="009177B7"/>
    <w:rsid w:val="00930F40"/>
    <w:rsid w:val="009904F2"/>
    <w:rsid w:val="009A0398"/>
    <w:rsid w:val="009B7D02"/>
    <w:rsid w:val="009C2624"/>
    <w:rsid w:val="009C5757"/>
    <w:rsid w:val="009F2F54"/>
    <w:rsid w:val="00A155E9"/>
    <w:rsid w:val="00A31B25"/>
    <w:rsid w:val="00A60A75"/>
    <w:rsid w:val="00A6252F"/>
    <w:rsid w:val="00A62D64"/>
    <w:rsid w:val="00A76E55"/>
    <w:rsid w:val="00A7779E"/>
    <w:rsid w:val="00A971AC"/>
    <w:rsid w:val="00AB4727"/>
    <w:rsid w:val="00AB5B1B"/>
    <w:rsid w:val="00AB69F5"/>
    <w:rsid w:val="00AC2421"/>
    <w:rsid w:val="00AD46AF"/>
    <w:rsid w:val="00AF6CCC"/>
    <w:rsid w:val="00B0298F"/>
    <w:rsid w:val="00B11660"/>
    <w:rsid w:val="00B356EC"/>
    <w:rsid w:val="00B51AF6"/>
    <w:rsid w:val="00B55BD4"/>
    <w:rsid w:val="00B57599"/>
    <w:rsid w:val="00B62CBA"/>
    <w:rsid w:val="00B75159"/>
    <w:rsid w:val="00B80A7D"/>
    <w:rsid w:val="00BC20E1"/>
    <w:rsid w:val="00BC78BA"/>
    <w:rsid w:val="00BE5784"/>
    <w:rsid w:val="00C04071"/>
    <w:rsid w:val="00C11E8B"/>
    <w:rsid w:val="00C32A5C"/>
    <w:rsid w:val="00C46256"/>
    <w:rsid w:val="00C63F9C"/>
    <w:rsid w:val="00C82C4E"/>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227BB"/>
    <w:rsid w:val="00E32C38"/>
    <w:rsid w:val="00E623ED"/>
    <w:rsid w:val="00E645D4"/>
    <w:rsid w:val="00E64CC8"/>
    <w:rsid w:val="00E71B4E"/>
    <w:rsid w:val="00E817E1"/>
    <w:rsid w:val="00EA75AA"/>
    <w:rsid w:val="00EB5CD4"/>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90253281870964D99DFA155B332181D" ma:contentTypeVersion="2" ma:contentTypeDescription="Umožňuje vytvoriť nový dokument." ma:contentTypeScope="" ma:versionID="6d4dd091906296fc80cba1b8f3387aaf">
  <xsd:schema xmlns:xsd="http://www.w3.org/2001/XMLSchema" xmlns:xs="http://www.w3.org/2001/XMLSchema" xmlns:p="http://schemas.microsoft.com/office/2006/metadata/properties" xmlns:ns2="1c2dd8fc-05a1-4e1e-be66-2b242ad66f9e" targetNamespace="http://schemas.microsoft.com/office/2006/metadata/properties" ma:root="true" ma:fieldsID="db508d2e89e62ed9173922368aa43c4b" ns2:_="">
    <xsd:import namespace="1c2dd8fc-05a1-4e1e-be66-2b242ad66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d8fc-05a1-4e1e-be66-2b242ad6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customXml/itemProps2.xml><?xml version="1.0" encoding="utf-8"?>
<ds:datastoreItem xmlns:ds="http://schemas.openxmlformats.org/officeDocument/2006/customXml" ds:itemID="{DD66BAEB-655F-4D85-94D9-A7FD0E1D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d8fc-05a1-4e1e-be66-2b242ad6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917D9-4019-450A-848F-311F25DA4C81}">
  <ds:schemaRefs>
    <ds:schemaRef ds:uri="http://schemas.microsoft.com/sharepoint/v3/contenttype/forms"/>
  </ds:schemaRefs>
</ds:datastoreItem>
</file>

<file path=customXml/itemProps4.xml><?xml version="1.0" encoding="utf-8"?>
<ds:datastoreItem xmlns:ds="http://schemas.openxmlformats.org/officeDocument/2006/customXml" ds:itemID="{0114888D-00F2-432E-87B7-7C7B04FC5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5260</Words>
  <Characters>29985</Characters>
  <Application>Microsoft Office Word</Application>
  <DocSecurity>0</DocSecurity>
  <Lines>249</Lines>
  <Paragraphs>70</Paragraphs>
  <ScaleCrop>false</ScaleCrop>
  <Company>Slovensky plynarensky priemysel, a.s.</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Sabová Eva, Mgr.</cp:lastModifiedBy>
  <cp:revision>97</cp:revision>
  <cp:lastPrinted>2017-11-21T12:42:00Z</cp:lastPrinted>
  <dcterms:created xsi:type="dcterms:W3CDTF">2020-02-11T14:02:00Z</dcterms:created>
  <dcterms:modified xsi:type="dcterms:W3CDTF">2021-12-03T12:55:00Z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0x010100190253281870964D99DFA155B332181D</vt:lpwstr>
  </property>
</Properties>
</file>