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421730ED"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w:t>
      </w:r>
      <w:r w:rsidR="000F3966">
        <w:rPr>
          <w:rFonts w:asciiTheme="minorHAnsi" w:hAnsiTheme="minorHAnsi"/>
          <w:b w:val="0"/>
          <w:bCs w:val="0"/>
          <w:sz w:val="22"/>
          <w:szCs w:val="22"/>
        </w:rPr>
        <w:t>1</w:t>
      </w:r>
      <w:r w:rsidRPr="005C6A50">
        <w:rPr>
          <w:rFonts w:asciiTheme="minorHAnsi" w:hAnsiTheme="minorHAnsi"/>
          <w:b w:val="0"/>
          <w:bCs w:val="0"/>
          <w:sz w:val="22"/>
          <w:szCs w:val="22"/>
        </w:rPr>
        <w:t>/xxx/3062</w:t>
      </w:r>
      <w:r w:rsidR="00870E64">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77777777"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18F5A802"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233B1DEF" w14:textId="7B3314BD"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0F3966">
        <w:rPr>
          <w:rFonts w:ascii="Calibri" w:hAnsi="Calibri"/>
          <w:i/>
          <w:sz w:val="22"/>
          <w:szCs w:val="22"/>
        </w:rPr>
        <w:t>pověřená vedením EÚ</w:t>
      </w:r>
    </w:p>
    <w:p w14:paraId="2DF81F0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22CC55F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217A30C4"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67AD9D8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1A040A8F"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2FA18F72"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6408C421" w14:textId="77777777" w:rsidR="00872C4D" w:rsidRPr="005C6A50" w:rsidRDefault="00872C4D" w:rsidP="00872C4D">
      <w:pPr>
        <w:spacing w:before="120" w:line="276" w:lineRule="auto"/>
        <w:contextualSpacing/>
        <w:jc w:val="both"/>
        <w:rPr>
          <w:rFonts w:asciiTheme="minorHAnsi" w:hAnsiTheme="minorHAnsi"/>
          <w:iCs/>
          <w:sz w:val="22"/>
          <w:szCs w:val="22"/>
        </w:rPr>
      </w:pP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77777777" w:rsidR="005D42C5" w:rsidRPr="004504EF" w:rsidRDefault="005D42C5" w:rsidP="002725FB">
      <w:pPr>
        <w:pStyle w:val="Nadpis2"/>
        <w:spacing w:before="120" w:after="120" w:line="276" w:lineRule="auto"/>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25F19CFB"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w:t>
      </w:r>
      <w:r w:rsidR="00870E64">
        <w:rPr>
          <w:rFonts w:asciiTheme="minorHAnsi" w:hAnsiTheme="minorHAnsi"/>
          <w:sz w:val="22"/>
          <w:szCs w:val="22"/>
        </w:rPr>
        <w:t xml:space="preserve">je </w:t>
      </w:r>
      <w:r w:rsidR="00870E64" w:rsidRPr="00870E64">
        <w:rPr>
          <w:rFonts w:asciiTheme="minorHAnsi" w:hAnsiTheme="minorHAnsi"/>
          <w:sz w:val="22"/>
          <w:szCs w:val="22"/>
        </w:rPr>
        <w:t xml:space="preserve"> statick</w:t>
      </w:r>
      <w:r w:rsidR="00870E64">
        <w:rPr>
          <w:rFonts w:asciiTheme="minorHAnsi" w:hAnsiTheme="minorHAnsi"/>
          <w:sz w:val="22"/>
          <w:szCs w:val="22"/>
        </w:rPr>
        <w:t>ý</w:t>
      </w:r>
      <w:r w:rsidR="00870E64" w:rsidRPr="00870E64">
        <w:rPr>
          <w:rFonts w:asciiTheme="minorHAnsi" w:hAnsiTheme="minorHAnsi"/>
          <w:sz w:val="22"/>
          <w:szCs w:val="22"/>
        </w:rPr>
        <w:t xml:space="preserve"> měnič SMTK13D</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specifikace </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0F48218" w14:textId="77777777"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1F2FAEE2" w14:textId="77777777" w:rsidR="009C050C" w:rsidRPr="004504EF" w:rsidRDefault="009C050C"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r w:rsidR="00FF0FDF">
        <w:rPr>
          <w:rFonts w:asciiTheme="minorHAnsi" w:hAnsiTheme="minorHAnsi"/>
          <w:sz w:val="22"/>
          <w:szCs w:val="22"/>
        </w:rPr>
        <w:t>xxxx</w:t>
      </w:r>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77777777"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9039500" w14:textId="77777777" w:rsidR="0043484F" w:rsidRPr="004504EF" w:rsidRDefault="0043484F"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6EFF0518" w14:textId="77777777"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4873693F" w14:textId="77777777" w:rsidR="00F84E1C" w:rsidRDefault="00F84E1C" w:rsidP="00F84E1C">
      <w:pPr>
        <w:spacing w:line="276" w:lineRule="auto"/>
        <w:jc w:val="both"/>
        <w:rPr>
          <w:rFonts w:asciiTheme="minorHAnsi" w:hAnsiTheme="minorHAnsi"/>
          <w:sz w:val="22"/>
          <w:szCs w:val="22"/>
        </w:rPr>
      </w:pPr>
    </w:p>
    <w:p w14:paraId="0E9975B9" w14:textId="77777777" w:rsidR="00F84E1C" w:rsidRDefault="00F84E1C" w:rsidP="00F84E1C">
      <w:pPr>
        <w:spacing w:line="276" w:lineRule="auto"/>
        <w:jc w:val="both"/>
        <w:rPr>
          <w:rFonts w:asciiTheme="minorHAnsi" w:hAnsiTheme="minorHAnsi"/>
          <w:sz w:val="22"/>
          <w:szCs w:val="22"/>
        </w:rPr>
      </w:pPr>
    </w:p>
    <w:p w14:paraId="3045F9E6" w14:textId="77777777" w:rsidR="001D44DF" w:rsidRDefault="001D44DF" w:rsidP="001D44DF">
      <w:pPr>
        <w:spacing w:line="276" w:lineRule="auto"/>
        <w:jc w:val="both"/>
        <w:rPr>
          <w:rFonts w:asciiTheme="minorHAnsi" w:hAnsiTheme="minorHAnsi"/>
          <w:sz w:val="22"/>
          <w:szCs w:val="22"/>
        </w:rPr>
      </w:pPr>
    </w:p>
    <w:p w14:paraId="0790AF2B" w14:textId="77777777" w:rsidR="001D44DF" w:rsidRDefault="001D44DF" w:rsidP="001D44DF">
      <w:pPr>
        <w:spacing w:line="276" w:lineRule="auto"/>
        <w:jc w:val="both"/>
        <w:rPr>
          <w:rFonts w:asciiTheme="minorHAnsi" w:hAnsiTheme="minorHAnsi"/>
          <w:sz w:val="22"/>
          <w:szCs w:val="22"/>
        </w:rPr>
      </w:pPr>
    </w:p>
    <w:p w14:paraId="549CCA74" w14:textId="77777777"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14:paraId="1E0FA912" w14:textId="5E7FAF0D"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870E64">
        <w:rPr>
          <w:rFonts w:asciiTheme="minorHAnsi" w:hAnsiTheme="minorHAnsi"/>
          <w:sz w:val="22"/>
          <w:szCs w:val="22"/>
        </w:rPr>
        <w:t>20</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59D5E4B7" w14:textId="5FD6D54A"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62</w:t>
      </w:r>
      <w:r w:rsidR="000F3966">
        <w:rPr>
          <w:rFonts w:asciiTheme="minorHAnsi" w:hAnsiTheme="minorHAnsi"/>
          <w:sz w:val="22"/>
          <w:szCs w:val="22"/>
          <w:u w:val="single"/>
        </w:rPr>
        <w:t>1</w:t>
      </w:r>
      <w:r w:rsidR="00872C4D" w:rsidRPr="004B6812">
        <w:rPr>
          <w:rFonts w:asciiTheme="minorHAnsi" w:hAnsiTheme="minorHAnsi"/>
          <w:sz w:val="22"/>
          <w:szCs w:val="22"/>
          <w:u w:val="single"/>
        </w:rPr>
        <w:t xml:space="preserve"> 00</w:t>
      </w:r>
      <w:r w:rsidR="00872C4D">
        <w:rPr>
          <w:rFonts w:asciiTheme="minorHAnsi" w:hAnsiTheme="minorHAnsi"/>
          <w:sz w:val="22"/>
          <w:szCs w:val="22"/>
          <w:u w:val="single"/>
        </w:rPr>
        <w:t>.</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891BDCB" w14:textId="77777777" w:rsidR="00B37C72" w:rsidRPr="004504EF" w:rsidRDefault="00B37C72"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63D6D8DC" w14:textId="77777777"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14:paraId="444A5A2C" w14:textId="77777777"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14:paraId="73721330" w14:textId="77777777"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14:paraId="7A570408" w14:textId="77777777"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14:paraId="7742A0D0" w14:textId="77777777"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14:paraId="522039C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14:paraId="39558EFD" w14:textId="77777777"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14:paraId="225B57E1" w14:textId="77777777"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14:paraId="25470FA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14:paraId="32306D5C"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14:paraId="06E02749" w14:textId="77777777"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14:paraId="604FCC39" w14:textId="77777777" w:rsidR="00533E6A" w:rsidRDefault="00533E6A" w:rsidP="00533E6A">
      <w:pPr>
        <w:spacing w:line="276" w:lineRule="auto"/>
        <w:jc w:val="both"/>
        <w:rPr>
          <w:rFonts w:asciiTheme="minorHAnsi" w:hAnsiTheme="minorHAnsi"/>
          <w:sz w:val="22"/>
          <w:szCs w:val="22"/>
        </w:rPr>
      </w:pPr>
    </w:p>
    <w:p w14:paraId="705A8317" w14:textId="77777777" w:rsidR="00533E6A" w:rsidRDefault="00533E6A" w:rsidP="00533E6A">
      <w:pPr>
        <w:spacing w:line="276" w:lineRule="auto"/>
        <w:jc w:val="both"/>
        <w:rPr>
          <w:rFonts w:asciiTheme="minorHAnsi" w:hAnsiTheme="minorHAnsi"/>
          <w:sz w:val="22"/>
          <w:szCs w:val="22"/>
        </w:rPr>
      </w:pPr>
    </w:p>
    <w:p w14:paraId="5B640822" w14:textId="77777777" w:rsidR="00533E6A" w:rsidRDefault="00533E6A" w:rsidP="00533E6A">
      <w:pPr>
        <w:spacing w:line="276" w:lineRule="auto"/>
        <w:jc w:val="both"/>
        <w:rPr>
          <w:rFonts w:asciiTheme="minorHAnsi" w:hAnsiTheme="minorHAnsi"/>
          <w:sz w:val="22"/>
          <w:szCs w:val="22"/>
        </w:rPr>
      </w:pPr>
    </w:p>
    <w:p w14:paraId="2798E714" w14:textId="77777777" w:rsidR="00533E6A" w:rsidRDefault="00533E6A" w:rsidP="00533E6A">
      <w:pPr>
        <w:spacing w:line="276" w:lineRule="auto"/>
        <w:jc w:val="both"/>
        <w:rPr>
          <w:rFonts w:asciiTheme="minorHAnsi" w:hAnsiTheme="minorHAnsi"/>
          <w:sz w:val="22"/>
          <w:szCs w:val="22"/>
        </w:rPr>
      </w:pPr>
    </w:p>
    <w:p w14:paraId="2FE5C53B" w14:textId="77777777" w:rsidR="00533E6A" w:rsidRPr="00533E6A" w:rsidRDefault="00533E6A" w:rsidP="00533E6A">
      <w:pPr>
        <w:spacing w:line="276" w:lineRule="auto"/>
        <w:jc w:val="both"/>
        <w:rPr>
          <w:rFonts w:asciiTheme="minorHAnsi" w:hAnsiTheme="minorHAnsi"/>
          <w:sz w:val="22"/>
          <w:szCs w:val="22"/>
        </w:rPr>
      </w:pPr>
    </w:p>
    <w:p w14:paraId="1CCC2F8B" w14:textId="77777777"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6048A96E" w14:textId="77777777"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14:paraId="5E98DB2B" w14:textId="77777777" w:rsidR="00612F23" w:rsidRPr="004504EF" w:rsidRDefault="00612F23" w:rsidP="0043484F">
      <w:pPr>
        <w:spacing w:line="276" w:lineRule="auto"/>
        <w:ind w:left="426" w:hanging="426"/>
        <w:jc w:val="both"/>
        <w:rPr>
          <w:rFonts w:asciiTheme="minorHAnsi" w:hAnsiTheme="minorHAnsi"/>
          <w:sz w:val="22"/>
          <w:szCs w:val="22"/>
        </w:rPr>
      </w:pPr>
    </w:p>
    <w:p w14:paraId="291CE447" w14:textId="77777777" w:rsidR="009B2DA5" w:rsidRPr="004504EF" w:rsidRDefault="009B2DA5" w:rsidP="0043484F">
      <w:pPr>
        <w:spacing w:line="276" w:lineRule="auto"/>
        <w:ind w:left="426" w:hanging="426"/>
        <w:jc w:val="center"/>
        <w:rPr>
          <w:rFonts w:asciiTheme="minorHAnsi" w:hAnsiTheme="minorHAnsi"/>
          <w:b/>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77777777"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porušení smlouvy </w:t>
      </w:r>
      <w:r w:rsidRPr="004504EF">
        <w:rPr>
          <w:rFonts w:asciiTheme="minorHAnsi" w:hAnsiTheme="minorHAnsi"/>
          <w:sz w:val="22"/>
          <w:szCs w:val="22"/>
        </w:rPr>
        <w:lastRenderedPageBreak/>
        <w:t>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5610CB14" w14:textId="77777777" w:rsidR="004753F5" w:rsidRDefault="004753F5" w:rsidP="004753F5">
      <w:pPr>
        <w:pStyle w:val="Normlnweb"/>
        <w:spacing w:before="0" w:beforeAutospacing="0" w:after="0" w:afterAutospacing="0" w:line="276" w:lineRule="auto"/>
        <w:jc w:val="both"/>
        <w:rPr>
          <w:rFonts w:asciiTheme="minorHAnsi" w:hAnsiTheme="minorHAnsi"/>
          <w:sz w:val="22"/>
          <w:szCs w:val="22"/>
        </w:rPr>
      </w:pPr>
    </w:p>
    <w:p w14:paraId="5D4BACA2" w14:textId="77777777" w:rsidR="004504EF" w:rsidRDefault="004504EF"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14:paraId="6644DCFE"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14:paraId="7ADEF61B"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2A01B89F" w14:textId="77777777"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4DBDA66" w14:textId="77777777"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14:paraId="615661EE" w14:textId="77777777"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14:paraId="49F7D05C" w14:textId="77777777"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14:paraId="43013EA6" w14:textId="77777777"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14:paraId="21CD4F5B" w14:textId="77777777" w:rsidR="00801818" w:rsidRDefault="00801818" w:rsidP="00801818">
      <w:pPr>
        <w:pStyle w:val="Normlnweb"/>
        <w:spacing w:before="0" w:beforeAutospacing="0" w:after="0" w:afterAutospacing="0" w:line="276" w:lineRule="auto"/>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14EFD7D" w14:textId="77777777"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E5F57E3" w14:textId="77777777" w:rsidR="00F84E1C" w:rsidRDefault="00F84E1C" w:rsidP="00F84E1C">
      <w:pPr>
        <w:pStyle w:val="Normlnweb"/>
        <w:spacing w:before="0" w:beforeAutospacing="0" w:after="0" w:afterAutospacing="0" w:line="276" w:lineRule="auto"/>
        <w:jc w:val="both"/>
        <w:rPr>
          <w:rFonts w:asciiTheme="minorHAnsi" w:hAnsiTheme="minorHAnsi"/>
          <w:sz w:val="22"/>
          <w:szCs w:val="22"/>
        </w:rPr>
      </w:pPr>
    </w:p>
    <w:p w14:paraId="4ABB7123"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w:t>
      </w:r>
      <w:r w:rsidRPr="004753F5">
        <w:rPr>
          <w:rFonts w:asciiTheme="minorHAnsi" w:hAnsiTheme="minorHAnsi"/>
          <w:sz w:val="22"/>
          <w:szCs w:val="22"/>
        </w:rPr>
        <w:lastRenderedPageBreak/>
        <w:t>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4C92E29" w14:textId="77777777"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4FCCA2A" w14:textId="77777777"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63F434D5" w14:textId="77777777"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14:paraId="2A9BC8D7" w14:textId="77777777"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14:paraId="3574A471" w14:textId="77777777" w:rsidR="00F81242" w:rsidRDefault="00F81242" w:rsidP="00F81242">
      <w:pPr>
        <w:spacing w:before="120" w:line="276" w:lineRule="auto"/>
        <w:jc w:val="both"/>
        <w:rPr>
          <w:rFonts w:asciiTheme="minorHAnsi" w:hAnsiTheme="minorHAnsi"/>
          <w:sz w:val="22"/>
          <w:szCs w:val="22"/>
        </w:rPr>
      </w:pPr>
    </w:p>
    <w:p w14:paraId="56D54FB4" w14:textId="77777777" w:rsidR="00F81242" w:rsidRDefault="00F81242" w:rsidP="00F81242">
      <w:pPr>
        <w:spacing w:before="120" w:line="276" w:lineRule="auto"/>
        <w:jc w:val="both"/>
        <w:rPr>
          <w:rFonts w:asciiTheme="minorHAnsi" w:hAnsiTheme="minorHAnsi"/>
          <w:sz w:val="22"/>
          <w:szCs w:val="22"/>
        </w:rPr>
      </w:pPr>
    </w:p>
    <w:p w14:paraId="505F7F43" w14:textId="77777777" w:rsidR="00F81242" w:rsidRDefault="00F81242" w:rsidP="00F81242">
      <w:pPr>
        <w:spacing w:before="120" w:line="276" w:lineRule="auto"/>
        <w:jc w:val="both"/>
        <w:rPr>
          <w:rFonts w:asciiTheme="minorHAnsi" w:hAnsiTheme="minorHAnsi"/>
          <w:sz w:val="22"/>
          <w:szCs w:val="22"/>
        </w:rPr>
      </w:pPr>
    </w:p>
    <w:p w14:paraId="7AA20321" w14:textId="77777777"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AB88" w14:textId="77777777" w:rsidR="00DC5780" w:rsidRDefault="00DC5780">
      <w:r>
        <w:separator/>
      </w:r>
    </w:p>
  </w:endnote>
  <w:endnote w:type="continuationSeparator" w:id="0">
    <w:p w14:paraId="7F2AFFF0" w14:textId="77777777" w:rsidR="00DC5780" w:rsidRDefault="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77777777"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2C446624"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0F3966">
      <w:rPr>
        <w:rFonts w:asciiTheme="minorHAnsi" w:hAnsiTheme="minorHAnsi"/>
        <w:sz w:val="16"/>
        <w:szCs w:val="16"/>
      </w:rPr>
      <w:t>1</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4AA7" w14:textId="77777777" w:rsidR="00DC5780" w:rsidRDefault="00DC5780">
      <w:r>
        <w:separator/>
      </w:r>
    </w:p>
  </w:footnote>
  <w:footnote w:type="continuationSeparator" w:id="0">
    <w:p w14:paraId="1833635A" w14:textId="77777777" w:rsidR="00DC5780" w:rsidRDefault="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0F3966"/>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30AC3"/>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0E64"/>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848"/>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5C65"/>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76B71-357A-4ECD-8326-89947213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2417</Words>
  <Characters>13797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7</cp:revision>
  <cp:lastPrinted>2019-01-17T12:21:00Z</cp:lastPrinted>
  <dcterms:created xsi:type="dcterms:W3CDTF">2020-01-22T08:58:00Z</dcterms:created>
  <dcterms:modified xsi:type="dcterms:W3CDTF">2021-10-08T11:33:00Z</dcterms:modified>
</cp:coreProperties>
</file>