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0435ADA9" w:rsidR="001D3EC6" w:rsidRPr="00B851B8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45CE17FA" w14:textId="07ED98A0" w:rsidR="001D3EC6" w:rsidRPr="001D3EC6" w:rsidRDefault="00EB1A4B" w:rsidP="001D3EC6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bookmarkStart w:id="0" w:name="_Hlk72692159"/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Výkon činnosti stavebného dozoru pri realizácii stavby</w:t>
      </w:r>
      <w:r w:rsidR="001D3EC6"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0E7A9CC1" w14:textId="2853613B" w:rsidR="001D3EC6" w:rsidRPr="001D3EC6" w:rsidRDefault="001D3EC6" w:rsidP="001D3EC6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r w:rsidR="005810DF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Nadstavba a prístavba SPŠ J. Murgaša Banská Bystrica – modernizácia odborného vzdelávania</w:t>
      </w:r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End w:id="0"/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bookmarkEnd w:id="2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273"/>
        <w:gridCol w:w="989"/>
        <w:gridCol w:w="1253"/>
      </w:tblGrid>
      <w:tr w:rsidR="00B851B8" w:rsidRPr="00D56A3D" w14:paraId="3D4C4E8C" w14:textId="77777777" w:rsidTr="0026085E">
        <w:trPr>
          <w:trHeight w:val="726"/>
          <w:jc w:val="center"/>
        </w:trPr>
        <w:tc>
          <w:tcPr>
            <w:tcW w:w="3056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77777777" w:rsidR="00B851B8" w:rsidRPr="0045040A" w:rsidRDefault="00B851B8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640168ED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ena 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2F389B9F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ena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22F802A4" w14:textId="77777777" w:rsidTr="002656B3">
        <w:trPr>
          <w:trHeight w:val="319"/>
          <w:jc w:val="center"/>
        </w:trPr>
        <w:tc>
          <w:tcPr>
            <w:tcW w:w="3056" w:type="pct"/>
            <w:shd w:val="clear" w:color="auto" w:fill="auto"/>
            <w:vAlign w:val="center"/>
            <w:hideMark/>
          </w:tcPr>
          <w:p w14:paraId="1AF31718" w14:textId="18C06EEF" w:rsidR="00B851B8" w:rsidRPr="00526C95" w:rsidRDefault="00B851B8" w:rsidP="00B851B8">
            <w:pPr>
              <w:pStyle w:val="Bezriadkovania"/>
              <w:rPr>
                <w:rFonts w:asciiTheme="minorHAnsi" w:hAnsiTheme="minorHAnsi" w:cstheme="minorHAnsi"/>
                <w:sz w:val="20"/>
                <w:szCs w:val="20"/>
              </w:rPr>
            </w:pPr>
            <w:r w:rsidRPr="00526C95">
              <w:rPr>
                <w:rFonts w:asciiTheme="minorHAnsi" w:hAnsiTheme="minorHAnsi" w:cstheme="minorHAnsi"/>
                <w:sz w:val="20"/>
                <w:szCs w:val="20"/>
              </w:rPr>
              <w:t>Výkon činnosti stavebného dozoru pre stavbu „</w:t>
            </w:r>
            <w:r w:rsidR="005810DF" w:rsidRPr="009061DB">
              <w:rPr>
                <w:rFonts w:asciiTheme="minorHAnsi" w:hAnsiTheme="minorHAnsi" w:cstheme="minorHAnsi"/>
                <w:sz w:val="20"/>
                <w:szCs w:val="20"/>
              </w:rPr>
              <w:t>Nadstavba a prístavba SPŠ J. Murgaša Banská Bystrica – modernizácia odborného vzdelávania</w:t>
            </w:r>
            <w:r w:rsidRPr="00526C95">
              <w:rPr>
                <w:rFonts w:asciiTheme="minorHAnsi" w:hAnsiTheme="minorHAnsi" w:cstheme="minorHAnsi"/>
                <w:sz w:val="20"/>
                <w:szCs w:val="20"/>
              </w:rPr>
              <w:t>“.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AC9AE3C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2E2EAE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C19EDA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1E8CC5FB" w14:textId="77777777" w:rsidR="00526C95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593DFEC3" w:rsidR="00AC3C56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3A636D0F" w14:textId="135BB9B6" w:rsidR="005810DF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40F025C0" w14:textId="77777777" w:rsidR="005810DF" w:rsidRPr="0076102D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555FD4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77777777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>Príloha č. 2 Výzvy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2656B3"/>
    <w:rsid w:val="00526C95"/>
    <w:rsid w:val="005810DF"/>
    <w:rsid w:val="005E665A"/>
    <w:rsid w:val="006B630C"/>
    <w:rsid w:val="00703E06"/>
    <w:rsid w:val="00774FE1"/>
    <w:rsid w:val="008D2344"/>
    <w:rsid w:val="009061DB"/>
    <w:rsid w:val="00962EFD"/>
    <w:rsid w:val="00A72F1C"/>
    <w:rsid w:val="00AC3C56"/>
    <w:rsid w:val="00B545E7"/>
    <w:rsid w:val="00B851B8"/>
    <w:rsid w:val="00EB1A4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3</cp:revision>
  <dcterms:created xsi:type="dcterms:W3CDTF">2021-12-02T12:14:00Z</dcterms:created>
  <dcterms:modified xsi:type="dcterms:W3CDTF">2021-12-02T12:15:00Z</dcterms:modified>
  <cp:contentStatus/>
</cp:coreProperties>
</file>