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1A560CC8"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r w:rsidR="00D7628E">
        <w:rPr>
          <w:rFonts w:ascii="Garamond" w:hAnsi="Garamond"/>
          <w:b/>
          <w:bCs/>
          <w:sz w:val="20"/>
          <w:szCs w:val="20"/>
        </w:rPr>
        <w:t>DEZPR1</w:t>
      </w:r>
      <w:r w:rsidR="00D95162">
        <w:rPr>
          <w:rFonts w:ascii="Garamond" w:hAnsi="Garamond"/>
          <w:b/>
          <w:bCs/>
          <w:sz w:val="20"/>
          <w:szCs w:val="20"/>
        </w:rPr>
        <w:t xml:space="preserve"> 01</w:t>
      </w:r>
      <w:r w:rsidR="004A7C6F">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274B5010"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bookmarkStart w:id="0" w:name="_Hlk90030492"/>
      <w:r w:rsidR="00D7628E">
        <w:rPr>
          <w:rFonts w:ascii="Garamond" w:hAnsi="Garamond"/>
          <w:b/>
          <w:bCs/>
          <w:sz w:val="20"/>
          <w:szCs w:val="20"/>
        </w:rPr>
        <w:t>Dezinfekčné prostriedky – covid 19_DEZPR1-2021</w:t>
      </w:r>
      <w:bookmarkEnd w:id="0"/>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558776CB" w:rsidR="00844171" w:rsidRPr="0033307F" w:rsidRDefault="00844171" w:rsidP="00844171">
      <w:pPr>
        <w:spacing w:after="0" w:line="240" w:lineRule="auto"/>
        <w:jc w:val="center"/>
        <w:rPr>
          <w:rFonts w:ascii="Garamond" w:hAnsi="Garamond"/>
          <w:b/>
          <w:sz w:val="20"/>
          <w:szCs w:val="20"/>
        </w:rPr>
      </w:pPr>
    </w:p>
    <w:p w14:paraId="64E11B69" w14:textId="568E54F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 xml:space="preserve">v rámci konkrétnej zákazky s názvom: </w:t>
      </w:r>
      <w:r>
        <w:rPr>
          <w:rFonts w:ascii="Garamond" w:hAnsi="Garamond"/>
          <w:b/>
          <w:bCs/>
          <w:sz w:val="20"/>
          <w:szCs w:val="20"/>
        </w:rPr>
        <w:t>“</w:t>
      </w:r>
      <w:bookmarkStart w:id="1" w:name="_Hlk90290356"/>
      <w:r w:rsidR="00D7628E" w:rsidRPr="00D7628E">
        <w:rPr>
          <w:rFonts w:ascii="Garamond" w:hAnsi="Garamond"/>
          <w:b/>
          <w:bCs/>
          <w:sz w:val="20"/>
          <w:szCs w:val="20"/>
        </w:rPr>
        <w:t>Dezinfekčné prostriedky – covid 19_DEZPR1-2021</w:t>
      </w:r>
      <w:bookmarkEnd w:id="1"/>
      <w:r w:rsidR="00D7628E">
        <w:rPr>
          <w:rFonts w:ascii="Garamond" w:hAnsi="Garamond"/>
          <w:b/>
          <w:bCs/>
          <w:sz w:val="20"/>
          <w:szCs w:val="20"/>
        </w:rPr>
        <w:t>“</w:t>
      </w:r>
      <w:r>
        <w:rPr>
          <w:rFonts w:ascii="Garamond" w:hAnsi="Garamond"/>
          <w:b/>
          <w:bCs/>
          <w:sz w:val="20"/>
          <w:szCs w:val="20"/>
        </w:rPr>
        <w:t>,</w:t>
      </w:r>
      <w:r w:rsidR="00D7628E">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w:t>
      </w:r>
      <w:r w:rsidR="00D7628E">
        <w:rPr>
          <w:rFonts w:ascii="Garamond" w:eastAsia="Times New Roman" w:hAnsi="Garamond"/>
          <w:sz w:val="20"/>
          <w:szCs w:val="20"/>
        </w:rPr>
        <w:t>25</w:t>
      </w:r>
      <w:r w:rsidR="00D95162" w:rsidRPr="00D95162">
        <w:rPr>
          <w:rFonts w:ascii="Garamond" w:eastAsia="Times New Roman" w:hAnsi="Garamond"/>
          <w:sz w:val="20"/>
          <w:szCs w:val="20"/>
        </w:rPr>
        <w:t>-</w:t>
      </w:r>
      <w:r w:rsidR="00D7628E">
        <w:rPr>
          <w:rFonts w:ascii="Garamond" w:eastAsia="Times New Roman" w:hAnsi="Garamond"/>
          <w:sz w:val="20"/>
          <w:szCs w:val="20"/>
        </w:rPr>
        <w:t>062407</w:t>
      </w:r>
      <w:r w:rsidR="00D95162">
        <w:rPr>
          <w:rFonts w:eastAsia="Times New Roman"/>
          <w:sz w:val="24"/>
          <w:szCs w:val="24"/>
        </w:rPr>
        <w:t xml:space="preserve"> </w:t>
      </w:r>
      <w:r w:rsidRPr="0033307F">
        <w:rPr>
          <w:rFonts w:ascii="Garamond" w:hAnsi="Garamond"/>
          <w:sz w:val="20"/>
          <w:szCs w:val="20"/>
        </w:rPr>
        <w:t xml:space="preserve">zo dňa </w:t>
      </w:r>
      <w:r w:rsidR="00D7628E">
        <w:rPr>
          <w:rFonts w:ascii="Garamond" w:hAnsi="Garamond"/>
          <w:sz w:val="20"/>
          <w:szCs w:val="20"/>
        </w:rPr>
        <w:t>05</w:t>
      </w:r>
      <w:r w:rsidR="00D95162">
        <w:rPr>
          <w:rFonts w:ascii="Garamond" w:hAnsi="Garamond"/>
          <w:sz w:val="20"/>
          <w:szCs w:val="20"/>
        </w:rPr>
        <w:t>.0</w:t>
      </w:r>
      <w:r w:rsidR="00D7628E">
        <w:rPr>
          <w:rFonts w:ascii="Garamond" w:hAnsi="Garamond"/>
          <w:sz w:val="20"/>
          <w:szCs w:val="20"/>
        </w:rPr>
        <w:t>2</w:t>
      </w:r>
      <w:r w:rsidR="00D95162">
        <w:rPr>
          <w:rFonts w:ascii="Garamond" w:hAnsi="Garamond"/>
          <w:sz w:val="20"/>
          <w:szCs w:val="20"/>
        </w:rPr>
        <w:t>.2021</w:t>
      </w:r>
      <w:r w:rsidRPr="0033307F">
        <w:rPr>
          <w:rFonts w:ascii="Garamond" w:hAnsi="Garamond"/>
          <w:sz w:val="20"/>
          <w:szCs w:val="20"/>
        </w:rPr>
        <w:t xml:space="preserve"> a Výzva na predkladanie ponúk bola zverejnená vo Vestníku verejného obstarávania vedeného Úradom pre verejné obstarávanie č. </w:t>
      </w:r>
      <w:r w:rsidR="00D95162">
        <w:rPr>
          <w:rFonts w:ascii="Garamond" w:hAnsi="Garamond"/>
          <w:sz w:val="20"/>
          <w:szCs w:val="20"/>
        </w:rPr>
        <w:t>0</w:t>
      </w:r>
      <w:r w:rsidR="004D4E2F">
        <w:rPr>
          <w:rFonts w:ascii="Garamond" w:hAnsi="Garamond"/>
          <w:sz w:val="20"/>
          <w:szCs w:val="20"/>
        </w:rPr>
        <w:t>40</w:t>
      </w:r>
      <w:r w:rsidR="00D95162">
        <w:rPr>
          <w:rFonts w:ascii="Garamond" w:hAnsi="Garamond"/>
          <w:sz w:val="20"/>
          <w:szCs w:val="20"/>
        </w:rPr>
        <w:t>/2021</w:t>
      </w:r>
      <w:r w:rsidRPr="0033307F">
        <w:rPr>
          <w:rFonts w:ascii="Garamond" w:hAnsi="Garamond"/>
          <w:sz w:val="20"/>
          <w:szCs w:val="20"/>
        </w:rPr>
        <w:t xml:space="preserve"> pod značkou </w:t>
      </w:r>
      <w:r w:rsidR="004D4E2F">
        <w:rPr>
          <w:rFonts w:ascii="Garamond" w:hAnsi="Garamond"/>
          <w:sz w:val="20"/>
          <w:szCs w:val="20"/>
        </w:rPr>
        <w:t>11292</w:t>
      </w:r>
      <w:r w:rsidR="00D95162" w:rsidRPr="00D95162">
        <w:rPr>
          <w:rFonts w:ascii="Garamond" w:hAnsi="Garamond"/>
          <w:sz w:val="20"/>
          <w:szCs w:val="20"/>
        </w:rPr>
        <w:t>-MUT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4D4E2F">
        <w:rPr>
          <w:rFonts w:ascii="Garamond" w:hAnsi="Garamond"/>
          <w:sz w:val="20"/>
          <w:szCs w:val="20"/>
        </w:rPr>
        <w:t>02</w:t>
      </w:r>
      <w:r w:rsidR="00D95162">
        <w:rPr>
          <w:rFonts w:ascii="Garamond" w:hAnsi="Garamond"/>
          <w:sz w:val="20"/>
          <w:szCs w:val="20"/>
        </w:rPr>
        <w:t>.</w:t>
      </w:r>
      <w:r w:rsidR="004D4E2F">
        <w:rPr>
          <w:rFonts w:ascii="Garamond" w:hAnsi="Garamond"/>
          <w:sz w:val="20"/>
          <w:szCs w:val="20"/>
        </w:rPr>
        <w:t>02.</w:t>
      </w:r>
      <w:r w:rsidR="00D95162">
        <w:rPr>
          <w:rFonts w:ascii="Garamond" w:hAnsi="Garamond"/>
          <w:sz w:val="20"/>
          <w:szCs w:val="20"/>
        </w:rPr>
        <w:t>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BE9F0BF" w:rsidR="00C50FAD" w:rsidRPr="0033307F" w:rsidRDefault="00766745" w:rsidP="00C50FAD">
      <w:pPr>
        <w:pStyle w:val="Odsekzoznamu"/>
        <w:spacing w:after="0" w:line="240" w:lineRule="auto"/>
        <w:rPr>
          <w:rFonts w:ascii="Garamond" w:hAnsi="Garamond"/>
          <w:sz w:val="20"/>
          <w:szCs w:val="20"/>
        </w:rPr>
      </w:pPr>
      <w:hyperlink r:id="rId9" w:history="1">
        <w:r w:rsidRPr="00856AFC">
          <w:rPr>
            <w:rStyle w:val="Hypertextovprepojenie"/>
            <w:rFonts w:ascii="Garamond" w:hAnsi="Garamond"/>
            <w:sz w:val="20"/>
            <w:szCs w:val="20"/>
          </w:rPr>
          <w:t>https://josephine.proebiz.com/sk/tender/16513/summary</w:t>
        </w:r>
      </w:hyperlink>
    </w:p>
    <w:p w14:paraId="37B366CE" w14:textId="77777777" w:rsidR="00C50FAD" w:rsidRPr="00520A5D" w:rsidRDefault="0076674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6CB08E3A" w:rsidR="00844171" w:rsidRDefault="00766745" w:rsidP="00844171">
      <w:pPr>
        <w:pStyle w:val="Odsekzoznamu"/>
        <w:spacing w:after="0" w:line="240" w:lineRule="auto"/>
        <w:rPr>
          <w:rFonts w:ascii="Garamond" w:hAnsi="Garamond"/>
          <w:bCs/>
          <w:sz w:val="20"/>
          <w:szCs w:val="20"/>
        </w:rPr>
      </w:pPr>
      <w:r>
        <w:rPr>
          <w:rFonts w:ascii="Garamond" w:hAnsi="Garamond"/>
          <w:bCs/>
          <w:sz w:val="20"/>
          <w:szCs w:val="20"/>
        </w:rPr>
        <w:t>16513</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24DCD90"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914E32" w:rsidRPr="00914E32">
        <w:rPr>
          <w:rFonts w:ascii="Garamond" w:hAnsi="Garamond"/>
          <w:b/>
          <w:bCs/>
          <w:sz w:val="20"/>
          <w:szCs w:val="20"/>
        </w:rPr>
        <w:t>Dezinfekčné prostriedky – covid 19_DEZPR1-2021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386B3A64" w14:textId="77777777" w:rsidR="002964D3" w:rsidRPr="002964D3" w:rsidRDefault="002964D3" w:rsidP="002964D3">
      <w:pPr>
        <w:pStyle w:val="Odsekzoznamu"/>
        <w:spacing w:line="240" w:lineRule="auto"/>
        <w:ind w:left="1125"/>
        <w:rPr>
          <w:rFonts w:ascii="Garamond" w:hAnsi="Garamond"/>
          <w:b/>
          <w:bCs/>
          <w:sz w:val="20"/>
          <w:szCs w:val="20"/>
        </w:rPr>
      </w:pPr>
      <w:r w:rsidRPr="002964D3">
        <w:rPr>
          <w:rFonts w:ascii="Garamond" w:hAnsi="Garamond"/>
          <w:b/>
          <w:bCs/>
          <w:sz w:val="20"/>
          <w:szCs w:val="20"/>
        </w:rPr>
        <w:t xml:space="preserve">24455000-8 Dezinfekčné prostriedky; 39830000-9 Čistiace výrobky </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0A03DDD5" w:rsidR="00C50FAD" w:rsidRPr="00C81435" w:rsidRDefault="00A261AD" w:rsidP="002964D3">
      <w:pPr>
        <w:ind w:left="1134"/>
        <w:rPr>
          <w:rFonts w:ascii="Garamond" w:hAnsi="Garamond"/>
          <w:sz w:val="20"/>
          <w:szCs w:val="20"/>
        </w:rPr>
      </w:pPr>
      <w:r w:rsidRPr="00A261AD">
        <w:rPr>
          <w:rFonts w:ascii="Garamond" w:hAnsi="Garamond"/>
          <w:sz w:val="20"/>
          <w:szCs w:val="20"/>
        </w:rPr>
        <w:t xml:space="preserve">Žiadame dodanie </w:t>
      </w:r>
      <w:r w:rsidR="002964D3">
        <w:rPr>
          <w:rFonts w:ascii="Garamond" w:hAnsi="Garamond"/>
          <w:sz w:val="20"/>
          <w:szCs w:val="20"/>
        </w:rPr>
        <w:t>nepoužitých dezinfekčných prostriedkov</w:t>
      </w:r>
      <w:r w:rsidRPr="00A261AD">
        <w:rPr>
          <w:rFonts w:ascii="Garamond" w:hAnsi="Garamond"/>
          <w:sz w:val="20"/>
          <w:szCs w:val="20"/>
        </w:rPr>
        <w:t xml:space="preserve"> určených v technickej špecifikácii, ktoré spĺňajú</w:t>
      </w:r>
      <w:r w:rsidR="002964D3">
        <w:rPr>
          <w:rFonts w:ascii="Garamond" w:hAnsi="Garamond"/>
          <w:sz w:val="20"/>
          <w:szCs w:val="20"/>
        </w:rPr>
        <w:t xml:space="preserve"> </w:t>
      </w:r>
      <w:r w:rsidRPr="00A261AD">
        <w:rPr>
          <w:rFonts w:ascii="Garamond" w:hAnsi="Garamond"/>
          <w:sz w:val="20"/>
          <w:szCs w:val="20"/>
        </w:rPr>
        <w:t xml:space="preserve"> </w:t>
      </w:r>
      <w:r w:rsidR="002964D3">
        <w:rPr>
          <w:rFonts w:ascii="Garamond" w:hAnsi="Garamond"/>
          <w:sz w:val="20"/>
          <w:szCs w:val="20"/>
        </w:rPr>
        <w:t xml:space="preserve">                  </w:t>
      </w:r>
      <w:r w:rsidRPr="00A261AD">
        <w:rPr>
          <w:rFonts w:ascii="Garamond" w:hAnsi="Garamond"/>
          <w:sz w:val="20"/>
          <w:szCs w:val="20"/>
        </w:rPr>
        <w:t>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4772C6A" w:rsidR="00844171" w:rsidRPr="0033307F" w:rsidRDefault="00914E32" w:rsidP="00844171">
      <w:pPr>
        <w:pStyle w:val="Odsekzoznamu"/>
        <w:spacing w:after="0" w:line="240" w:lineRule="auto"/>
        <w:ind w:left="1125"/>
        <w:rPr>
          <w:rFonts w:ascii="Garamond" w:hAnsi="Garamond"/>
          <w:bCs/>
          <w:sz w:val="20"/>
          <w:szCs w:val="20"/>
        </w:rPr>
      </w:pPr>
      <w:r>
        <w:rPr>
          <w:rFonts w:ascii="Garamond" w:hAnsi="Garamond"/>
          <w:bCs/>
          <w:sz w:val="20"/>
          <w:szCs w:val="20"/>
        </w:rPr>
        <w:t>6 520</w:t>
      </w:r>
      <w:r w:rsidR="00952F58">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lastRenderedPageBreak/>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8023E0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914E32">
        <w:rPr>
          <w:rFonts w:ascii="Garamond" w:hAnsi="Garamond"/>
          <w:b/>
          <w:sz w:val="20"/>
          <w:szCs w:val="20"/>
        </w:rPr>
        <w:t>23</w:t>
      </w:r>
      <w:r w:rsidR="003F167D">
        <w:rPr>
          <w:rFonts w:ascii="Garamond" w:hAnsi="Garamond"/>
          <w:b/>
          <w:sz w:val="20"/>
          <w:szCs w:val="20"/>
        </w:rPr>
        <w:t>.</w:t>
      </w:r>
      <w:r w:rsidR="00914E32">
        <w:rPr>
          <w:rFonts w:ascii="Garamond" w:hAnsi="Garamond"/>
          <w:b/>
          <w:sz w:val="20"/>
          <w:szCs w:val="20"/>
        </w:rPr>
        <w:t>12</w:t>
      </w:r>
      <w:r w:rsidR="003F167D">
        <w:rPr>
          <w:rFonts w:ascii="Garamond" w:hAnsi="Garamond"/>
          <w:b/>
          <w:sz w:val="20"/>
          <w:szCs w:val="20"/>
        </w:rPr>
        <w:t>.2021</w:t>
      </w:r>
      <w:r w:rsidRPr="001B6368">
        <w:rPr>
          <w:rFonts w:ascii="Garamond" w:hAnsi="Garamond"/>
          <w:b/>
          <w:sz w:val="20"/>
          <w:szCs w:val="20"/>
        </w:rPr>
        <w:t xml:space="preserve">, </w:t>
      </w:r>
      <w:r w:rsidR="00914E32">
        <w:rPr>
          <w:rFonts w:ascii="Garamond" w:hAnsi="Garamond"/>
          <w:b/>
          <w:sz w:val="20"/>
          <w:szCs w:val="20"/>
        </w:rPr>
        <w:t>09</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76674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A93CF78"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914E32">
        <w:rPr>
          <w:rFonts w:ascii="Garamond" w:hAnsi="Garamond"/>
          <w:b/>
          <w:sz w:val="20"/>
          <w:szCs w:val="20"/>
        </w:rPr>
        <w:t>23</w:t>
      </w:r>
      <w:r w:rsidR="003F167D">
        <w:rPr>
          <w:rFonts w:ascii="Garamond" w:hAnsi="Garamond"/>
          <w:b/>
          <w:sz w:val="20"/>
          <w:szCs w:val="20"/>
        </w:rPr>
        <w:t>.</w:t>
      </w:r>
      <w:r w:rsidR="00914E32">
        <w:rPr>
          <w:rFonts w:ascii="Garamond" w:hAnsi="Garamond"/>
          <w:b/>
          <w:sz w:val="20"/>
          <w:szCs w:val="20"/>
        </w:rPr>
        <w:t>12</w:t>
      </w:r>
      <w:r w:rsidR="003F167D">
        <w:rPr>
          <w:rFonts w:ascii="Garamond" w:hAnsi="Garamond"/>
          <w:b/>
          <w:sz w:val="20"/>
          <w:szCs w:val="20"/>
        </w:rPr>
        <w:t>.2021</w:t>
      </w:r>
      <w:r w:rsidRPr="001B6368">
        <w:rPr>
          <w:rFonts w:ascii="Garamond" w:hAnsi="Garamond"/>
          <w:b/>
          <w:sz w:val="20"/>
          <w:szCs w:val="20"/>
        </w:rPr>
        <w:t xml:space="preserve">, </w:t>
      </w:r>
      <w:r w:rsidR="00914E32">
        <w:rPr>
          <w:rFonts w:ascii="Garamond" w:hAnsi="Garamond"/>
          <w:b/>
          <w:sz w:val="20"/>
          <w:szCs w:val="20"/>
        </w:rPr>
        <w:t>10</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C2B3F6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14E32">
        <w:rPr>
          <w:rFonts w:ascii="Garamond" w:hAnsi="Garamond"/>
          <w:sz w:val="20"/>
          <w:szCs w:val="20"/>
        </w:rPr>
        <w:t>13</w:t>
      </w:r>
      <w:r w:rsidR="003F167D">
        <w:rPr>
          <w:rFonts w:ascii="Garamond" w:hAnsi="Garamond"/>
          <w:sz w:val="20"/>
          <w:szCs w:val="20"/>
        </w:rPr>
        <w:t>.</w:t>
      </w:r>
      <w:r w:rsidR="00914E32">
        <w:rPr>
          <w:rFonts w:ascii="Garamond" w:hAnsi="Garamond"/>
          <w:sz w:val="20"/>
          <w:szCs w:val="20"/>
        </w:rPr>
        <w:t>12</w:t>
      </w:r>
      <w:r w:rsidR="003F167D">
        <w:rPr>
          <w:rFonts w:ascii="Garamond" w:hAnsi="Garamond"/>
          <w:sz w:val="20"/>
          <w:szCs w:val="20"/>
        </w:rPr>
        <w:t>.2021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22C14A7" w:rsidR="00844171" w:rsidRDefault="00844171" w:rsidP="00844171">
      <w:pPr>
        <w:spacing w:after="0" w:line="240" w:lineRule="auto"/>
        <w:jc w:val="both"/>
        <w:rPr>
          <w:rFonts w:ascii="Garamond" w:hAnsi="Garamond"/>
          <w:sz w:val="20"/>
          <w:szCs w:val="20"/>
        </w:rPr>
      </w:pPr>
    </w:p>
    <w:p w14:paraId="50213A63" w14:textId="25C9BB23" w:rsidR="00914E32" w:rsidRDefault="00914E32" w:rsidP="00844171">
      <w:pPr>
        <w:spacing w:after="0" w:line="240" w:lineRule="auto"/>
        <w:jc w:val="both"/>
        <w:rPr>
          <w:rFonts w:ascii="Garamond" w:hAnsi="Garamond"/>
          <w:sz w:val="20"/>
          <w:szCs w:val="20"/>
        </w:rPr>
      </w:pPr>
    </w:p>
    <w:p w14:paraId="471CF905" w14:textId="3D89FD59" w:rsidR="00914E32" w:rsidRDefault="00914E32" w:rsidP="00844171">
      <w:pPr>
        <w:spacing w:after="0" w:line="240" w:lineRule="auto"/>
        <w:jc w:val="both"/>
        <w:rPr>
          <w:rFonts w:ascii="Garamond" w:hAnsi="Garamond"/>
          <w:sz w:val="20"/>
          <w:szCs w:val="20"/>
        </w:rPr>
      </w:pPr>
    </w:p>
    <w:p w14:paraId="71C91293" w14:textId="77777777" w:rsidR="00914E32" w:rsidRPr="0033307F" w:rsidRDefault="00914E32"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4"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5BD6E55"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3FE9DAE"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914E32" w:rsidRPr="00914E32">
        <w:rPr>
          <w:rFonts w:ascii="Garamond" w:hAnsi="Garamond"/>
          <w:b/>
          <w:bCs/>
          <w:sz w:val="20"/>
          <w:szCs w:val="20"/>
        </w:rPr>
        <w:t>Dezinfekčné prostriedky – covid 19_DEZPR1-2021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7"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3F93A3B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Andrej Zigmund,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075F2A7F"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00B861CB" w:rsidRPr="00B861CB">
        <w:rPr>
          <w:rFonts w:ascii="Garamond" w:hAnsi="Garamond"/>
          <w:b/>
          <w:bCs/>
          <w:sz w:val="20"/>
        </w:rPr>
        <w:t>Dezinfekčné prostriedky – covid 19_DEZPR1-2021</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Z.z.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182726" w:rsidRDefault="003F167D" w:rsidP="00AA762A">
      <w:pPr>
        <w:pStyle w:val="Odsekzoznamu"/>
        <w:widowControl w:val="0"/>
        <w:numPr>
          <w:ilvl w:val="2"/>
          <w:numId w:val="7"/>
        </w:numPr>
        <w:spacing w:after="0" w:line="240" w:lineRule="auto"/>
        <w:ind w:left="993" w:hanging="426"/>
        <w:contextualSpacing w:val="0"/>
        <w:jc w:val="both"/>
        <w:rPr>
          <w:rFonts w:ascii="Garamond" w:hAnsi="Garamond"/>
          <w:spacing w:val="-4"/>
          <w:sz w:val="20"/>
          <w:szCs w:val="20"/>
        </w:rPr>
      </w:pPr>
      <w:r w:rsidRPr="00182726">
        <w:rPr>
          <w:rFonts w:ascii="Garamond" w:hAnsi="Garamond"/>
          <w:spacing w:val="-4"/>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3760E39B" w14:textId="7AA5D0C8" w:rsidR="003F167D" w:rsidRPr="00182726" w:rsidRDefault="003F167D" w:rsidP="00182726">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7777777"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Ing. Andrej Zigmund</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4"/>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5F06B95B" w14:textId="161E0883" w:rsidR="00657DDE" w:rsidRPr="001F2454" w:rsidRDefault="00182726" w:rsidP="001F2454">
      <w:pPr>
        <w:rPr>
          <w:rFonts w:ascii="Garamond" w:hAnsi="Garamond"/>
          <w:b/>
          <w:sz w:val="20"/>
          <w:szCs w:val="20"/>
        </w:rPr>
        <w:sectPr w:rsidR="00657DDE" w:rsidRPr="001F2454" w:rsidSect="00182726">
          <w:headerReference w:type="even" r:id="rId18"/>
          <w:headerReference w:type="default" r:id="rId19"/>
          <w:headerReference w:type="first" r:id="rId20"/>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Garamond" w:hAnsi="Garamond"/>
          <w:b/>
          <w:sz w:val="20"/>
          <w:szCs w:val="20"/>
        </w:rPr>
        <w:br w:type="page"/>
      </w:r>
    </w:p>
    <w:p w14:paraId="0725977C" w14:textId="165906A7" w:rsidR="00657DDE" w:rsidRPr="006104FA" w:rsidRDefault="006104FA" w:rsidP="006104FA">
      <w:pPr>
        <w:spacing w:after="0" w:line="240" w:lineRule="auto"/>
        <w:rPr>
          <w:rFonts w:ascii="Garamond" w:hAnsi="Garamond"/>
          <w:sz w:val="20"/>
          <w:szCs w:val="20"/>
        </w:rPr>
      </w:pPr>
      <w:r w:rsidRPr="006104FA">
        <w:rPr>
          <w:rFonts w:ascii="Garamond" w:hAnsi="Garamond"/>
          <w:sz w:val="20"/>
          <w:szCs w:val="20"/>
        </w:rPr>
        <w:lastRenderedPageBreak/>
        <w:t xml:space="preserve">                                </w:t>
      </w:r>
      <w:r w:rsidR="00657DDE" w:rsidRPr="006104FA">
        <w:rPr>
          <w:rFonts w:ascii="Garamond" w:hAnsi="Garamond"/>
          <w:sz w:val="20"/>
          <w:szCs w:val="20"/>
        </w:rPr>
        <w:t>Príloha č.</w:t>
      </w:r>
      <w:r w:rsidRPr="006104FA">
        <w:rPr>
          <w:rFonts w:ascii="Garamond" w:hAnsi="Garamond"/>
          <w:sz w:val="20"/>
          <w:szCs w:val="20"/>
        </w:rPr>
        <w:t>4</w:t>
      </w:r>
      <w:r w:rsidR="00657DDE" w:rsidRPr="006104FA">
        <w:rPr>
          <w:rFonts w:ascii="Garamond" w:hAnsi="Garamond"/>
          <w:sz w:val="20"/>
          <w:szCs w:val="20"/>
        </w:rPr>
        <w:t>-</w:t>
      </w:r>
      <w:r w:rsidR="00657DDE" w:rsidRPr="006104FA">
        <w:rPr>
          <w:rFonts w:ascii="Garamond" w:hAnsi="Garamond"/>
          <w:bCs/>
          <w:sz w:val="20"/>
          <w:szCs w:val="20"/>
        </w:rPr>
        <w:t xml:space="preserve"> 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51EC" w14:textId="77777777" w:rsidR="009B6417" w:rsidRDefault="009B6417" w:rsidP="00BA6169">
      <w:pPr>
        <w:spacing w:after="0" w:line="240" w:lineRule="auto"/>
      </w:pPr>
      <w:r>
        <w:separator/>
      </w:r>
    </w:p>
  </w:endnote>
  <w:endnote w:type="continuationSeparator" w:id="0">
    <w:p w14:paraId="7AFB0334" w14:textId="77777777" w:rsidR="009B6417" w:rsidRDefault="009B641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0923" w14:textId="77777777" w:rsidR="009B6417" w:rsidRDefault="009B6417" w:rsidP="00BA6169">
      <w:pPr>
        <w:spacing w:after="0" w:line="240" w:lineRule="auto"/>
      </w:pPr>
      <w:r>
        <w:separator/>
      </w:r>
    </w:p>
  </w:footnote>
  <w:footnote w:type="continuationSeparator" w:id="0">
    <w:p w14:paraId="68EFD3A8" w14:textId="77777777" w:rsidR="009B6417" w:rsidRDefault="009B6417"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766745">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766745">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766745">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766745">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19"/>
  </w:num>
  <w:num w:numId="3">
    <w:abstractNumId w:val="1"/>
  </w:num>
  <w:num w:numId="4">
    <w:abstractNumId w:val="9"/>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3"/>
  </w:num>
  <w:num w:numId="10">
    <w:abstractNumId w:val="10"/>
  </w:num>
  <w:num w:numId="11">
    <w:abstractNumId w:val="18"/>
  </w:num>
  <w:num w:numId="12">
    <w:abstractNumId w:val="22"/>
  </w:num>
  <w:num w:numId="13">
    <w:abstractNumId w:val="11"/>
  </w:num>
  <w:num w:numId="14">
    <w:abstractNumId w:val="2"/>
  </w:num>
  <w:num w:numId="15">
    <w:abstractNumId w:val="4"/>
  </w:num>
  <w:num w:numId="16">
    <w:abstractNumId w:val="13"/>
  </w:num>
  <w:num w:numId="17">
    <w:abstractNumId w:val="15"/>
  </w:num>
  <w:num w:numId="18">
    <w:abstractNumId w:val="14"/>
  </w:num>
  <w:num w:numId="19">
    <w:abstractNumId w:val="6"/>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31D5"/>
    <w:rsid w:val="00090A61"/>
    <w:rsid w:val="00096B74"/>
    <w:rsid w:val="000A32F3"/>
    <w:rsid w:val="000B54F5"/>
    <w:rsid w:val="000D1C32"/>
    <w:rsid w:val="00161CC5"/>
    <w:rsid w:val="00162177"/>
    <w:rsid w:val="00177BBF"/>
    <w:rsid w:val="00182726"/>
    <w:rsid w:val="00184686"/>
    <w:rsid w:val="00192251"/>
    <w:rsid w:val="001A45D8"/>
    <w:rsid w:val="001B46A7"/>
    <w:rsid w:val="001B6368"/>
    <w:rsid w:val="001C2E24"/>
    <w:rsid w:val="001F2454"/>
    <w:rsid w:val="002011F5"/>
    <w:rsid w:val="00204EB0"/>
    <w:rsid w:val="00232FF1"/>
    <w:rsid w:val="00233D85"/>
    <w:rsid w:val="00253E81"/>
    <w:rsid w:val="0026370D"/>
    <w:rsid w:val="00296446"/>
    <w:rsid w:val="002964D3"/>
    <w:rsid w:val="002D053D"/>
    <w:rsid w:val="002D4ACF"/>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92682"/>
    <w:rsid w:val="00495164"/>
    <w:rsid w:val="004A4669"/>
    <w:rsid w:val="004A7C6F"/>
    <w:rsid w:val="004D4E2F"/>
    <w:rsid w:val="004F64AF"/>
    <w:rsid w:val="00547FD3"/>
    <w:rsid w:val="00553364"/>
    <w:rsid w:val="005805A7"/>
    <w:rsid w:val="00590E09"/>
    <w:rsid w:val="005B4C26"/>
    <w:rsid w:val="005B78CB"/>
    <w:rsid w:val="005F6AC1"/>
    <w:rsid w:val="006007FC"/>
    <w:rsid w:val="00610182"/>
    <w:rsid w:val="006104FA"/>
    <w:rsid w:val="00625F9A"/>
    <w:rsid w:val="00630575"/>
    <w:rsid w:val="00651619"/>
    <w:rsid w:val="006539F7"/>
    <w:rsid w:val="006554EF"/>
    <w:rsid w:val="00657DDE"/>
    <w:rsid w:val="00691187"/>
    <w:rsid w:val="006C68CF"/>
    <w:rsid w:val="006D00E5"/>
    <w:rsid w:val="006D0C13"/>
    <w:rsid w:val="006E4A39"/>
    <w:rsid w:val="006F35C4"/>
    <w:rsid w:val="006F71CA"/>
    <w:rsid w:val="00766745"/>
    <w:rsid w:val="00770730"/>
    <w:rsid w:val="00774CEB"/>
    <w:rsid w:val="00796EBC"/>
    <w:rsid w:val="00797C17"/>
    <w:rsid w:val="007B4ED8"/>
    <w:rsid w:val="00844171"/>
    <w:rsid w:val="008B03EE"/>
    <w:rsid w:val="008C7B84"/>
    <w:rsid w:val="008E718B"/>
    <w:rsid w:val="008F3931"/>
    <w:rsid w:val="00914E32"/>
    <w:rsid w:val="009302FF"/>
    <w:rsid w:val="00952F58"/>
    <w:rsid w:val="00954B90"/>
    <w:rsid w:val="009B429A"/>
    <w:rsid w:val="009B6417"/>
    <w:rsid w:val="009E1852"/>
    <w:rsid w:val="009E29D7"/>
    <w:rsid w:val="009E6F63"/>
    <w:rsid w:val="009E72AB"/>
    <w:rsid w:val="009F18AE"/>
    <w:rsid w:val="009F59E8"/>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861CB"/>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7628E"/>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EE5455"/>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16513/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5578</Words>
  <Characters>31798</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cp:revision>
  <cp:lastPrinted>2020-02-25T13:07:00Z</cp:lastPrinted>
  <dcterms:created xsi:type="dcterms:W3CDTF">2021-12-10T11:03:00Z</dcterms:created>
  <dcterms:modified xsi:type="dcterms:W3CDTF">2021-12-13T12:24:00Z</dcterms:modified>
</cp:coreProperties>
</file>