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1E070C9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45DBCA45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1BEB9D19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</w:p>
    <w:p w14:paraId="38F68E5E" w14:textId="77777777" w:rsidR="00644480" w:rsidRDefault="00644480" w:rsidP="00644480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C06E29" w14:textId="53AD797B" w:rsidR="00644480" w:rsidRDefault="00644480" w:rsidP="00644480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1.     Poskytovateľ v rámci plnenia zmluvy a v rámci zmluvnej ceny za upratovanie zabezpečuje nákup, distribúciu na objekty a príslušným upratovačkám</w:t>
      </w:r>
      <w:r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>
        <w:rPr>
          <w:rFonts w:ascii="Arial" w:hAnsi="Arial" w:cs="Arial"/>
          <w:sz w:val="20"/>
          <w:szCs w:val="20"/>
        </w:rPr>
        <w:t xml:space="preserve">ozmer </w:t>
      </w:r>
      <w:proofErr w:type="spellStart"/>
      <w:r>
        <w:rPr>
          <w:rFonts w:ascii="Arial" w:hAnsi="Arial" w:cs="Arial"/>
          <w:sz w:val="20"/>
          <w:szCs w:val="20"/>
        </w:rPr>
        <w:t>sáčkov</w:t>
      </w:r>
      <w:proofErr w:type="spellEnd"/>
      <w:r>
        <w:rPr>
          <w:rFonts w:ascii="Arial" w:hAnsi="Arial" w:cs="Arial"/>
          <w:sz w:val="20"/>
          <w:szCs w:val="20"/>
        </w:rPr>
        <w:t xml:space="preserve"> je cca 500 mm x 600 mm, t. j. cca 30 litrov)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 je </w:t>
      </w:r>
      <w:r>
        <w:rPr>
          <w:rFonts w:ascii="Arial" w:eastAsia="Times New Roman" w:hAnsi="Arial" w:cs="Arial"/>
          <w:sz w:val="20"/>
          <w:szCs w:val="20"/>
          <w:lang w:eastAsia="sk-SK"/>
        </w:rPr>
        <w:t>226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224EF5B6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A35004A" w14:textId="77777777" w:rsidR="00644480" w:rsidRDefault="00644480" w:rsidP="00644480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sk-SK"/>
        </w:rPr>
        <w:t>ú mať uložené aj hygienické prostriedky a tovary na výmenu a dopĺňanie. Spôsob ich preberania od objednávateľa bude stanovený po podpise zmluvy kontaktnou osobou objednávateľa.</w:t>
      </w:r>
    </w:p>
    <w:p w14:paraId="6E58E10F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2BEF5E8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52ECB00E" w14:textId="77777777" w:rsidR="00644480" w:rsidRDefault="00644480" w:rsidP="00644480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1CC13" w14:textId="77777777" w:rsidR="00EA1860" w:rsidRDefault="00EA1860" w:rsidP="00C213CE">
      <w:pPr>
        <w:spacing w:after="0" w:line="240" w:lineRule="auto"/>
      </w:pPr>
      <w:r>
        <w:separator/>
      </w:r>
    </w:p>
  </w:endnote>
  <w:endnote w:type="continuationSeparator" w:id="0">
    <w:p w14:paraId="0BC86FC3" w14:textId="77777777" w:rsidR="00EA1860" w:rsidRDefault="00EA1860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660A9AD2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480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605E" w14:textId="77777777" w:rsidR="00EA1860" w:rsidRDefault="00EA1860" w:rsidP="00C213CE">
      <w:pPr>
        <w:spacing w:after="0" w:line="240" w:lineRule="auto"/>
      </w:pPr>
      <w:r>
        <w:separator/>
      </w:r>
    </w:p>
  </w:footnote>
  <w:footnote w:type="continuationSeparator" w:id="0">
    <w:p w14:paraId="7C0A2069" w14:textId="77777777" w:rsidR="00EA1860" w:rsidRDefault="00EA1860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EF11EB" w:rsidRDefault="00C213CE" w:rsidP="00AA2944">
    <w:pPr>
      <w:pStyle w:val="Hlavika"/>
      <w:jc w:val="right"/>
      <w:rPr>
        <w:rFonts w:ascii="Arial" w:hAnsi="Arial" w:cs="Arial"/>
      </w:rPr>
    </w:pPr>
    <w:r w:rsidRPr="00EF11EB">
      <w:rPr>
        <w:rFonts w:ascii="Arial" w:hAnsi="Arial" w:cs="Arial"/>
      </w:rPr>
      <w:t xml:space="preserve">Príloha č. </w:t>
    </w:r>
    <w:r w:rsidR="00803D76" w:rsidRPr="00EF11EB">
      <w:rPr>
        <w:rFonts w:ascii="Arial" w:hAnsi="Arial" w:cs="Arial"/>
      </w:rPr>
      <w:t>2</w:t>
    </w:r>
    <w:r w:rsidR="00894B8B" w:rsidRPr="00EF11EB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4964"/>
    <w:rsid w:val="00212094"/>
    <w:rsid w:val="00216B64"/>
    <w:rsid w:val="00222B9B"/>
    <w:rsid w:val="00243109"/>
    <w:rsid w:val="002836D9"/>
    <w:rsid w:val="002D4B46"/>
    <w:rsid w:val="003800A0"/>
    <w:rsid w:val="003B6ADB"/>
    <w:rsid w:val="003F1DAC"/>
    <w:rsid w:val="004D343F"/>
    <w:rsid w:val="004E0A4E"/>
    <w:rsid w:val="005C3F07"/>
    <w:rsid w:val="005E75A5"/>
    <w:rsid w:val="00602F37"/>
    <w:rsid w:val="00636230"/>
    <w:rsid w:val="00644480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3C46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222E6"/>
    <w:rsid w:val="00E3793A"/>
    <w:rsid w:val="00E60F2C"/>
    <w:rsid w:val="00EA1860"/>
    <w:rsid w:val="00EA56E7"/>
    <w:rsid w:val="00EE2E4A"/>
    <w:rsid w:val="00EF11EB"/>
    <w:rsid w:val="00EF3803"/>
    <w:rsid w:val="00EF527E"/>
    <w:rsid w:val="00F65E92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dcterms:created xsi:type="dcterms:W3CDTF">2021-10-28T11:58:00Z</dcterms:created>
  <dcterms:modified xsi:type="dcterms:W3CDTF">2022-01-04T09:22:00Z</dcterms:modified>
</cp:coreProperties>
</file>