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ED9C78E" w14:textId="77777777" w:rsidR="005A3147" w:rsidRDefault="005A3147" w:rsidP="005A3147">
      <w:pPr>
        <w:pStyle w:val="Odsekzoznamu"/>
        <w:spacing w:before="300" w:after="300" w:line="240" w:lineRule="auto"/>
        <w:ind w:left="0"/>
        <w:jc w:val="both"/>
        <w:rPr>
          <w:rFonts w:ascii="Arial Narrow" w:hAnsi="Arial Narrow"/>
          <w:bCs/>
        </w:rPr>
      </w:pPr>
    </w:p>
    <w:p w14:paraId="6B874D17" w14:textId="79F032CC"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Minimálna požadovaná úroveň štandardov</w:t>
      </w:r>
    </w:p>
    <w:p w14:paraId="40A554A1" w14:textId="77777777" w:rsidR="005A3147" w:rsidRPr="005A3147" w:rsidRDefault="005A3147" w:rsidP="005A3147">
      <w:pPr>
        <w:pStyle w:val="Odsekzoznamu"/>
        <w:spacing w:before="300" w:after="300" w:line="240" w:lineRule="auto"/>
        <w:ind w:left="0"/>
        <w:jc w:val="both"/>
        <w:rPr>
          <w:rFonts w:ascii="Arial Narrow" w:hAnsi="Arial Narrow"/>
          <w:bCs/>
        </w:rPr>
      </w:pPr>
    </w:p>
    <w:p w14:paraId="21AC8646" w14:textId="77777777"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3.1 Podľa § 34 ods. 1 písm. a) zákona</w:t>
      </w:r>
    </w:p>
    <w:p w14:paraId="72A7E07A" w14:textId="77777777"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Uchádzač musí preukázať technickú alebo odbornú spôsobilosť zoznamom dodávok tovaru za predchádzajúce tri (3) roky od vyhlásenia verejného obstarávania s uvedením cien, lehôt dodania a odberateľov; dokladom je referencia, ak odberateľom bol verejný obstarávateľ alebo obstarávateľ podľa zákona.</w:t>
      </w:r>
    </w:p>
    <w:p w14:paraId="2D5B993D" w14:textId="77777777"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Za vyhlásenie súťaže sa považuje zverejnenie oznámenia o vyhlásení verejného obstarávania v Úradnom vestníku Európskej únie.</w:t>
      </w:r>
    </w:p>
    <w:p w14:paraId="2E1288CF" w14:textId="77777777"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Zoznam dodávok musí obsahovať dodávky tovaru za predchádzajúce tri roky od vyhlásenia verejného obstarávania, potvrdzujúce dodanie tovaru rovnakého alebo obdobného charakteru ako je požadovaný predmet zákazky v minimálnej súhrnnej hodnote 150 000 EUR bez DPH, ktorým preukáže, že za rozhodné obdobie realizoval dodávky tovarov  rovnakého alebo obdobného predmetu zákazky (obdobný predmet zákazky – dodávka spotrebného materiálu pre tlačiace zariadenia ). Pri prepočte meny na menu euro sa použije kurz ECB platný v deň odoslania tohto oznámenia o vyhlásení verejného obstarávania na uverejnenie v Úradnom vestníku EÚ.</w:t>
      </w:r>
    </w:p>
    <w:p w14:paraId="18174A43" w14:textId="77777777"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Zo zoznamu dodávok tovaru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w:t>
      </w:r>
    </w:p>
    <w:p w14:paraId="5088B6BE" w14:textId="77777777" w:rsidR="005A3147" w:rsidRPr="005A3147" w:rsidRDefault="005A3147" w:rsidP="005A3147">
      <w:pPr>
        <w:pStyle w:val="Odsekzoznamu"/>
        <w:spacing w:before="300" w:after="300" w:line="240" w:lineRule="auto"/>
        <w:ind w:left="0"/>
        <w:jc w:val="both"/>
        <w:rPr>
          <w:rFonts w:ascii="Arial Narrow" w:hAnsi="Arial Narrow"/>
          <w:bCs/>
        </w:rPr>
      </w:pPr>
    </w:p>
    <w:p w14:paraId="27D77F07" w14:textId="77777777"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3.2 Podľa § 34 ods.1 písm. h) v nadväznosti na § 36 zákona - uvedenie opatrení environmentálneho manažérstva, ktoré záujemca použije pri plnení zmluvy</w:t>
      </w:r>
    </w:p>
    <w:p w14:paraId="1130E785" w14:textId="77777777" w:rsidR="005A3147" w:rsidRPr="005A3147" w:rsidRDefault="005A3147" w:rsidP="005A3147">
      <w:pPr>
        <w:pStyle w:val="Odsekzoznamu"/>
        <w:spacing w:before="300" w:after="300" w:line="240" w:lineRule="auto"/>
        <w:ind w:left="0"/>
        <w:jc w:val="both"/>
        <w:rPr>
          <w:rFonts w:ascii="Arial Narrow" w:hAnsi="Arial Narrow"/>
          <w:bCs/>
        </w:rPr>
      </w:pPr>
    </w:p>
    <w:p w14:paraId="1C2E80BB" w14:textId="77777777"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Požaduje sa uvedenie opatrení environmentálneho manažérstva použitých záujemcom pri plnení zmluvy a to predložením originálu alebo úradne osvedčenej kópie platného certifikátu systému environmentálneho manažérstva vo vzťahu k predmetu zákazky v zmysle požiadaviek EN ISO 14001 resp. ekvivalent, vydaný nezávislou inštitúciou. Verejný obstarávateľ uzná ako rovnocenný certifikát systému environmentálneho manažérstva vydaný príslušným orgánom členského štátu v súlade s § 36 zákona.</w:t>
      </w:r>
    </w:p>
    <w:p w14:paraId="3F0D4E3D" w14:textId="77777777" w:rsidR="005A3147" w:rsidRPr="005A3147" w:rsidRDefault="005A3147" w:rsidP="005A3147">
      <w:pPr>
        <w:pStyle w:val="Odsekzoznamu"/>
        <w:spacing w:before="300" w:after="300" w:line="240" w:lineRule="auto"/>
        <w:ind w:left="0"/>
        <w:jc w:val="both"/>
        <w:rPr>
          <w:rFonts w:ascii="Arial Narrow" w:hAnsi="Arial Narrow"/>
          <w:bCs/>
        </w:rPr>
      </w:pPr>
    </w:p>
    <w:p w14:paraId="7C7F5EDC" w14:textId="77777777" w:rsidR="005A3147" w:rsidRPr="005A3147" w:rsidRDefault="005A3147" w:rsidP="005A3147">
      <w:pPr>
        <w:pStyle w:val="Odsekzoznamu"/>
        <w:spacing w:before="300" w:after="300" w:line="240" w:lineRule="auto"/>
        <w:ind w:left="0"/>
        <w:jc w:val="both"/>
        <w:rPr>
          <w:rFonts w:ascii="Arial Narrow" w:hAnsi="Arial Narrow"/>
          <w:bCs/>
        </w:rPr>
      </w:pPr>
    </w:p>
    <w:p w14:paraId="3D6722EC" w14:textId="695EF21C" w:rsidR="005A3147" w:rsidRPr="005A3147" w:rsidRDefault="005A3147" w:rsidP="00C36EF9">
      <w:pPr>
        <w:pStyle w:val="Odsekzoznamu"/>
        <w:spacing w:before="300" w:after="300" w:line="240" w:lineRule="auto"/>
        <w:ind w:left="0" w:firstLine="708"/>
        <w:jc w:val="both"/>
        <w:rPr>
          <w:rFonts w:ascii="Arial Narrow" w:hAnsi="Arial Narrow"/>
          <w:bCs/>
        </w:rPr>
      </w:pPr>
      <w:r w:rsidRPr="005A3147">
        <w:rPr>
          <w:rFonts w:ascii="Arial Narrow" w:hAnsi="Arial Narrow"/>
          <w:bCs/>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kúpnej zmluve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w:t>
      </w:r>
      <w:r w:rsidRPr="005A3147">
        <w:rPr>
          <w:rFonts w:ascii="Arial Narrow" w:hAnsi="Arial Narrow"/>
          <w:bCs/>
        </w:rPr>
        <w:lastRenderedPageBreak/>
        <w:t>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3507A36C" w14:textId="77777777" w:rsidR="00C36EF9" w:rsidRDefault="00C36EF9" w:rsidP="005A3147">
      <w:pPr>
        <w:pStyle w:val="Odsekzoznamu"/>
        <w:spacing w:before="300" w:after="300" w:line="240" w:lineRule="auto"/>
        <w:ind w:left="0"/>
        <w:jc w:val="both"/>
        <w:rPr>
          <w:rFonts w:ascii="Arial Narrow" w:hAnsi="Arial Narrow"/>
          <w:bCs/>
        </w:rPr>
      </w:pPr>
    </w:p>
    <w:p w14:paraId="38B37B18" w14:textId="0DB006F5"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14:paraId="76A8A367" w14:textId="77777777" w:rsidR="00C36EF9" w:rsidRDefault="00C36EF9" w:rsidP="005A3147">
      <w:pPr>
        <w:pStyle w:val="Odsekzoznamu"/>
        <w:spacing w:before="300" w:after="300" w:line="240" w:lineRule="auto"/>
        <w:ind w:left="0"/>
        <w:jc w:val="both"/>
        <w:rPr>
          <w:rFonts w:ascii="Arial Narrow" w:hAnsi="Arial Narrow"/>
          <w:bCs/>
        </w:rPr>
      </w:pPr>
    </w:p>
    <w:p w14:paraId="58862CDF" w14:textId="05505A66" w:rsidR="005A3147" w:rsidRPr="005A3147"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 xml:space="preserve">Vyžaduje sa predloženie originálov alebo úradne osvedčených kópií všetkých dokladov uvedených podľa tohto bodu oznámenia o vyhlásení verejného obstarávania okrem referencií vystavených podľa § 12 ods. 2 zákona.  </w:t>
      </w:r>
    </w:p>
    <w:p w14:paraId="3B9042B0" w14:textId="77777777" w:rsidR="00C36EF9" w:rsidRDefault="00C36EF9" w:rsidP="005A3147">
      <w:pPr>
        <w:pStyle w:val="Odsekzoznamu"/>
        <w:spacing w:before="300" w:after="300" w:line="240" w:lineRule="auto"/>
        <w:ind w:left="0"/>
        <w:jc w:val="both"/>
        <w:rPr>
          <w:rFonts w:ascii="Arial Narrow" w:hAnsi="Arial Narrow"/>
          <w:bCs/>
        </w:rPr>
      </w:pPr>
    </w:p>
    <w:p w14:paraId="7BD6423D" w14:textId="0B64F824" w:rsidR="00870912" w:rsidRDefault="005A3147" w:rsidP="005A3147">
      <w:pPr>
        <w:pStyle w:val="Odsekzoznamu"/>
        <w:spacing w:before="300" w:after="300" w:line="240" w:lineRule="auto"/>
        <w:ind w:left="0"/>
        <w:jc w:val="both"/>
        <w:rPr>
          <w:rFonts w:ascii="Arial Narrow" w:hAnsi="Arial Narrow"/>
          <w:bCs/>
        </w:rPr>
      </w:pPr>
      <w:r w:rsidRPr="005A3147">
        <w:rPr>
          <w:rFonts w:ascii="Arial Narrow" w:hAnsi="Arial Narrow"/>
          <w:bCs/>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4AFCB0FC" w14:textId="3600667A" w:rsidR="005A3147" w:rsidRDefault="005A3147" w:rsidP="005A3147">
      <w:pPr>
        <w:pStyle w:val="Odsekzoznamu"/>
        <w:spacing w:before="300" w:after="300" w:line="240" w:lineRule="auto"/>
        <w:ind w:left="284"/>
        <w:rPr>
          <w:rFonts w:ascii="Arial Narrow" w:hAnsi="Arial Narrow"/>
          <w:bCs/>
        </w:rPr>
      </w:pPr>
    </w:p>
    <w:p w14:paraId="48682CDD" w14:textId="77777777" w:rsidR="005A3147" w:rsidRPr="00FC70A5" w:rsidRDefault="005A3147" w:rsidP="005A3147">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186F3DC7" w14:textId="77777777" w:rsidR="0007202A" w:rsidRPr="00A45E57" w:rsidRDefault="0007202A" w:rsidP="0007202A">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A45E57">
        <w:rPr>
          <w:rFonts w:ascii="Arial Narrow" w:hAnsi="Arial Narrow" w:cs="Open Sans"/>
          <w:color w:val="4472C4" w:themeColor="accent1"/>
        </w:rPr>
        <w:t>Splnenie podmienok účasti sa posudzuje odo dňa predloženia žiadosti o účasť.</w:t>
      </w:r>
    </w:p>
    <w:p w14:paraId="6D9792ED" w14:textId="77777777" w:rsidR="00012C46" w:rsidRPr="00012C46" w:rsidRDefault="00012C46" w:rsidP="00012C46">
      <w:pPr>
        <w:pStyle w:val="Odsekzoznamu"/>
        <w:spacing w:before="300" w:after="300" w:line="240" w:lineRule="auto"/>
        <w:rPr>
          <w:rFonts w:ascii="Arial Narrow" w:hAnsi="Arial Narrow"/>
          <w:b/>
          <w:lang w:eastAsia="sk-SK"/>
        </w:rPr>
      </w:pPr>
      <w:bookmarkStart w:id="1" w:name="_GoBack"/>
      <w:bookmarkEnd w:id="0"/>
      <w:bookmarkEnd w:id="1"/>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w:t>
      </w:r>
      <w:r w:rsidRPr="00012C46">
        <w:rPr>
          <w:rStyle w:val="Jemnzvraznenie"/>
          <w:rFonts w:ascii="Arial Narrow" w:hAnsi="Arial Narrow"/>
          <w:b w:val="0"/>
          <w:sz w:val="22"/>
        </w:rPr>
        <w:lastRenderedPageBreak/>
        <w:t xml:space="preserve">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6B17B" w14:textId="77777777" w:rsidR="004B3191" w:rsidRDefault="004B3191" w:rsidP="00CF3803">
      <w:pPr>
        <w:spacing w:after="0" w:line="240" w:lineRule="auto"/>
      </w:pPr>
      <w:r>
        <w:separator/>
      </w:r>
    </w:p>
  </w:endnote>
  <w:endnote w:type="continuationSeparator" w:id="0">
    <w:p w14:paraId="0349C939" w14:textId="77777777" w:rsidR="004B3191" w:rsidRDefault="004B319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1865D6ED" w:rsidR="00AF7F2F" w:rsidRDefault="00AF7F2F">
        <w:pPr>
          <w:pStyle w:val="Pta"/>
          <w:jc w:val="center"/>
        </w:pPr>
        <w:r>
          <w:fldChar w:fldCharType="begin"/>
        </w:r>
        <w:r>
          <w:instrText>PAGE   \* MERGEFORMAT</w:instrText>
        </w:r>
        <w:r>
          <w:fldChar w:fldCharType="separate"/>
        </w:r>
        <w:r w:rsidR="0007202A">
          <w:rPr>
            <w:noProof/>
          </w:rPr>
          <w:t>6</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1E591" w14:textId="77777777" w:rsidR="004B3191" w:rsidRDefault="004B3191" w:rsidP="00CF3803">
      <w:pPr>
        <w:spacing w:after="0" w:line="240" w:lineRule="auto"/>
      </w:pPr>
      <w:r>
        <w:separator/>
      </w:r>
    </w:p>
  </w:footnote>
  <w:footnote w:type="continuationSeparator" w:id="0">
    <w:p w14:paraId="13A29877" w14:textId="77777777" w:rsidR="004B3191" w:rsidRDefault="004B319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7202A"/>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191"/>
    <w:rsid w:val="004B35F2"/>
    <w:rsid w:val="004B496E"/>
    <w:rsid w:val="004C335B"/>
    <w:rsid w:val="004E0D4E"/>
    <w:rsid w:val="004E5158"/>
    <w:rsid w:val="004F006F"/>
    <w:rsid w:val="004F585E"/>
    <w:rsid w:val="00501BEC"/>
    <w:rsid w:val="00503C06"/>
    <w:rsid w:val="00504DFD"/>
    <w:rsid w:val="00505F5D"/>
    <w:rsid w:val="00506594"/>
    <w:rsid w:val="00513543"/>
    <w:rsid w:val="00541B2C"/>
    <w:rsid w:val="00543F73"/>
    <w:rsid w:val="00557FB2"/>
    <w:rsid w:val="00566D51"/>
    <w:rsid w:val="005677AD"/>
    <w:rsid w:val="00584149"/>
    <w:rsid w:val="00586473"/>
    <w:rsid w:val="0058710B"/>
    <w:rsid w:val="00587243"/>
    <w:rsid w:val="00590F18"/>
    <w:rsid w:val="005A0AEB"/>
    <w:rsid w:val="005A3147"/>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029"/>
    <w:rsid w:val="006C0C32"/>
    <w:rsid w:val="006C4BA1"/>
    <w:rsid w:val="006F0353"/>
    <w:rsid w:val="006F2010"/>
    <w:rsid w:val="006F48EE"/>
    <w:rsid w:val="0070402F"/>
    <w:rsid w:val="00706952"/>
    <w:rsid w:val="007076DE"/>
    <w:rsid w:val="00724924"/>
    <w:rsid w:val="007332F9"/>
    <w:rsid w:val="00735FAC"/>
    <w:rsid w:val="007374AE"/>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6EF9"/>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55B0B"/>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A2CE2-80B6-4E1E-936A-EF60354E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2576</Words>
  <Characters>14686</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Martina Hlavová</cp:lastModifiedBy>
  <cp:revision>6</cp:revision>
  <cp:lastPrinted>2022-01-18T07:35:00Z</cp:lastPrinted>
  <dcterms:created xsi:type="dcterms:W3CDTF">2024-08-13T07:54:00Z</dcterms:created>
  <dcterms:modified xsi:type="dcterms:W3CDTF">2024-08-20T10:00:00Z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