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bookmarkStart w:id="0" w:name="_GoBack"/>
      <w:bookmarkEnd w:id="0"/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14F3DB9F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Platí samostatne pre časť 1 a časť 2 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449435F6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 xml:space="preserve">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vyplnení jednotkové ceny položiek v elektronickom ponukovom formulári v systéme JOSEPHINE, ktorý zodpovedá Štruktúrovanému rozpočtu ceny.</w:t>
      </w:r>
    </w:p>
    <w:p w14:paraId="0AC000DB" w14:textId="7122C818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7B585AFB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>
      <w:rPr>
        <w:rFonts w:ascii="Arial Narrow" w:hAnsi="Arial Narrow"/>
        <w:sz w:val="18"/>
        <w:szCs w:val="18"/>
      </w:rPr>
      <w:t>Mobilné kontajnery– III.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10</cp:revision>
  <dcterms:created xsi:type="dcterms:W3CDTF">2021-12-30T08:47:00Z</dcterms:created>
  <dcterms:modified xsi:type="dcterms:W3CDTF">2022-01-13T10:22:00Z</dcterms:modified>
</cp:coreProperties>
</file>