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48D60555"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FC72F9" w:rsidRPr="006B5271">
                    <w:rPr>
                      <w:rFonts w:ascii="Arial Narrow" w:hAnsi="Arial Narrow" w:cs="Arial"/>
                      <w:sz w:val="18"/>
                      <w:szCs w:val="18"/>
                    </w:rPr>
                    <w:t>2670</w:t>
                  </w:r>
                  <w:r w:rsidR="00A66E38" w:rsidRPr="006B5271">
                    <w:rPr>
                      <w:rFonts w:ascii="Arial Narrow" w:hAnsi="Arial Narrow" w:cs="Arial"/>
                      <w:sz w:val="18"/>
                      <w:szCs w:val="18"/>
                    </w:rPr>
                    <w:t>-</w:t>
                  </w:r>
                  <w:r w:rsidRPr="006B5271">
                    <w:rPr>
                      <w:rFonts w:ascii="Arial Narrow" w:hAnsi="Arial Narrow" w:cs="Arial"/>
                      <w:sz w:val="18"/>
                      <w:szCs w:val="18"/>
                    </w:rPr>
                    <w:t>00</w:t>
                  </w:r>
                  <w:r w:rsidR="00FC72F9" w:rsidRPr="006B5271">
                    <w:rPr>
                      <w:rFonts w:ascii="Arial Narrow" w:hAnsi="Arial Narrow" w:cs="Arial"/>
                      <w:sz w:val="18"/>
                      <w:szCs w:val="18"/>
                    </w:rPr>
                    <w:t>6</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58C019A8"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C72F9">
        <w:rPr>
          <w:rFonts w:ascii="Arial Narrow" w:hAnsi="Arial Narrow" w:cs="Arial"/>
          <w:sz w:val="22"/>
          <w:szCs w:val="22"/>
        </w:rPr>
        <w:t xml:space="preserve">druhej </w:t>
      </w:r>
      <w:r>
        <w:rPr>
          <w:rFonts w:ascii="Arial Narrow" w:hAnsi="Arial Narrow" w:cs="Arial"/>
          <w:sz w:val="22"/>
          <w:szCs w:val="22"/>
        </w:rPr>
        <w:t>vety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55975EA7" w:rsidR="00A464CB" w:rsidRPr="00A66E38" w:rsidRDefault="00A66E38" w:rsidP="00A464CB">
      <w:pPr>
        <w:pStyle w:val="Zkladntext3"/>
        <w:jc w:val="center"/>
        <w:rPr>
          <w:rFonts w:ascii="Arial Narrow" w:hAnsi="Arial Narrow" w:cs="Arial"/>
          <w:b/>
          <w:sz w:val="36"/>
          <w:szCs w:val="36"/>
        </w:rPr>
      </w:pPr>
      <w:bookmarkStart w:id="0" w:name="nazov"/>
      <w:bookmarkEnd w:id="0"/>
      <w:r w:rsidRPr="00A66E38">
        <w:rPr>
          <w:rFonts w:ascii="Arial Narrow" w:hAnsi="Arial Narrow" w:cs="Arial"/>
          <w:b/>
          <w:sz w:val="36"/>
          <w:szCs w:val="36"/>
        </w:rPr>
        <w:t>Mobilné kontajnery</w:t>
      </w:r>
      <w:r w:rsidR="00085C61">
        <w:rPr>
          <w:rFonts w:ascii="Arial Narrow" w:hAnsi="Arial Narrow" w:cs="Arial"/>
          <w:b/>
          <w:sz w:val="36"/>
          <w:szCs w:val="36"/>
        </w:rPr>
        <w:t>– II</w:t>
      </w:r>
      <w:r w:rsidR="00FC72F9">
        <w:rPr>
          <w:rFonts w:ascii="Arial Narrow" w:hAnsi="Arial Narrow" w:cs="Arial"/>
          <w:b/>
          <w:sz w:val="36"/>
          <w:szCs w:val="36"/>
        </w:rPr>
        <w:t>I</w:t>
      </w:r>
      <w:r w:rsidR="00085C61">
        <w:rPr>
          <w:rFonts w:ascii="Arial Narrow" w:hAnsi="Arial Narrow" w:cs="Arial"/>
          <w:b/>
          <w:sz w:val="36"/>
          <w:szCs w:val="36"/>
        </w:rPr>
        <w:t>.</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5DA818D2"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BD11F6">
        <w:rPr>
          <w:rFonts w:ascii="Arial Narrow" w:hAnsi="Arial Narrow"/>
          <w:sz w:val="22"/>
        </w:rPr>
        <w:t xml:space="preserve">Mgr. </w:t>
      </w:r>
      <w:r w:rsidR="00085C61">
        <w:rPr>
          <w:rFonts w:ascii="Arial Narrow" w:hAnsi="Arial Narrow"/>
          <w:sz w:val="22"/>
        </w:rPr>
        <w:t>Leonard GRUNSKÝ</w:t>
      </w:r>
      <w:r w:rsidR="00A52C6A">
        <w:rPr>
          <w:rFonts w:ascii="Arial Narrow" w:hAnsi="Arial Narrow"/>
          <w:sz w:val="22"/>
        </w:rPr>
        <w:t>, PhD.</w:t>
      </w:r>
    </w:p>
    <w:p w14:paraId="42316E45" w14:textId="200978ED" w:rsidR="00B452D1" w:rsidRPr="006B5271" w:rsidRDefault="00B452D1" w:rsidP="00B452D1">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r w:rsidR="00A52C6A" w:rsidRPr="006B5271">
        <w:rPr>
          <w:rFonts w:ascii="Arial Narrow" w:hAnsi="Arial Narrow"/>
          <w:sz w:val="22"/>
        </w:rPr>
        <w:t xml:space="preserve">zástupca </w:t>
      </w:r>
      <w:r w:rsidRPr="006B5271">
        <w:rPr>
          <w:rFonts w:ascii="Arial Narrow" w:hAnsi="Arial Narrow"/>
          <w:sz w:val="22"/>
        </w:rPr>
        <w:t>riaditeľ</w:t>
      </w:r>
      <w:r w:rsidR="00A52C6A" w:rsidRPr="006B5271">
        <w:rPr>
          <w:rFonts w:ascii="Arial Narrow" w:hAnsi="Arial Narrow"/>
          <w:sz w:val="22"/>
        </w:rPr>
        <w:t>a</w:t>
      </w:r>
    </w:p>
    <w:p w14:paraId="7D601837" w14:textId="44A83D76"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w:t>
      </w:r>
      <w:r w:rsidR="0014673C">
        <w:rPr>
          <w:rFonts w:ascii="Arial Narrow" w:hAnsi="Arial Narrow"/>
          <w:sz w:val="22"/>
        </w:rPr>
        <w:t xml:space="preserve">      </w:t>
      </w:r>
      <w:r w:rsidR="00BD11F6">
        <w:rPr>
          <w:rFonts w:ascii="Arial Narrow" w:hAnsi="Arial Narrow"/>
          <w:sz w:val="22"/>
        </w:rPr>
        <w:t>PDC NAKA</w:t>
      </w:r>
      <w:r w:rsidRPr="004252F5">
        <w:rPr>
          <w:rFonts w:ascii="Arial Narrow" w:hAnsi="Arial Narrow"/>
          <w:sz w:val="22"/>
        </w:rPr>
        <w:t xml:space="preserve">  </w:t>
      </w:r>
    </w:p>
    <w:p w14:paraId="6A8DFD4C" w14:textId="054AA8B8"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4D5A19B"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FC72F9">
        <w:rPr>
          <w:rFonts w:ascii="Arial Narrow" w:hAnsi="Arial Narrow" w:cs="Arial"/>
          <w:sz w:val="22"/>
          <w:szCs w:val="22"/>
        </w:rPr>
        <w:t>január</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1179593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(pre časť 1 a časť 2)</w:t>
      </w:r>
    </w:p>
    <w:p w14:paraId="12C0FA16" w14:textId="5D87AD14"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r w:rsidR="00A269E9">
        <w:rPr>
          <w:rFonts w:ascii="Arial Narrow" w:hAnsi="Arial Narrow"/>
          <w:szCs w:val="20"/>
        </w:rPr>
        <w:t>(pre časť 1 aj pre časť 2)</w:t>
      </w:r>
    </w:p>
    <w:p w14:paraId="1046E002" w14:textId="1209BB2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r w:rsidR="00A269E9">
        <w:rPr>
          <w:rFonts w:ascii="Arial Narrow" w:hAnsi="Arial Narrow"/>
          <w:szCs w:val="20"/>
        </w:rPr>
        <w:t>(pre časť 1 a časť 2)</w:t>
      </w:r>
    </w:p>
    <w:p w14:paraId="0A0C612E" w14:textId="538ED7D5"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DC2670">
        <w:rPr>
          <w:rFonts w:ascii="Arial Narrow" w:hAnsi="Arial Narrow"/>
          <w:szCs w:val="20"/>
        </w:rPr>
        <w:t>(pre časť 1 aj pre časť 2)</w:t>
      </w:r>
    </w:p>
    <w:p w14:paraId="17F8DAE2" w14:textId="0990ECBC"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479D2">
        <w:rPr>
          <w:rFonts w:ascii="Arial Narrow" w:hAnsi="Arial Narrow"/>
          <w:szCs w:val="20"/>
        </w:rPr>
        <w:t>(pre časť 1 a časť 2)</w:t>
      </w:r>
    </w:p>
    <w:p w14:paraId="40F1DA48" w14:textId="64E692D1"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(pre časť 1 aj pre časť 2)</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bookmarkStart w:id="2" w:name="_GoBack"/>
      <w:bookmarkEnd w:id="2"/>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14:paraId="5A4A1B3E"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68040C16"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w:t>
      </w:r>
      <w:r w:rsidRPr="00FA3B83">
        <w:rPr>
          <w:rFonts w:ascii="Arial Narrow" w:hAnsi="Arial Narrow" w:cs="Arial"/>
          <w:sz w:val="22"/>
          <w:szCs w:val="22"/>
        </w:rPr>
        <w:lastRenderedPageBreak/>
        <w:t>bude mať zobrazený obsah komunikácie - zásielky, správy. Záujemca resp. uchádzač si môže v komunikačnom rozhraní zobraziť celú históriu o svojej komunikácii s verejným obstarávateľom.</w:t>
      </w:r>
    </w:p>
    <w:p w14:paraId="580E16FD"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v systéme  JOSEPHINE a požaduje, aby ich záujemcovia zapracovali do svojich ponúk.</w:t>
      </w:r>
    </w:p>
    <w:p w14:paraId="1F86714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E869B7" w14:textId="7777777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7A6D1CD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systému JOSEPHINE sú uvedené na webovom sídle systému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61CA4261"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 20 ods.4 zákona: "Informačný systém 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77777777"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w:t>
      </w:r>
      <w:r w:rsidRPr="00BF72C1">
        <w:rPr>
          <w:rFonts w:ascii="Arial Narrow" w:hAnsi="Arial Narrow" w:cs="Calibri"/>
          <w:sz w:val="22"/>
        </w:rPr>
        <w:lastRenderedPageBreak/>
        <w:t xml:space="preserve">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6EF28E5" w14:textId="77777777"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5000C071"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C8FE2D6" w14:textId="77777777"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FF43E9">
        <w:rPr>
          <w:rFonts w:ascii="Arial Narrow" w:hAnsi="Arial Narrow" w:cs="Arial"/>
          <w:lang w:val="sk-SK"/>
        </w:rPr>
        <w:t>„</w:t>
      </w:r>
      <w:r>
        <w:rPr>
          <w:rFonts w:ascii="Arial Narrow" w:hAnsi="Arial Narrow" w:cs="Arial"/>
          <w:b/>
          <w:i/>
          <w:lang w:val="sk-SK"/>
        </w:rPr>
        <w:t>Mobilné kontajnery– III.</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77777777"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Pr>
          <w:rFonts w:ascii="Arial Narrow" w:hAnsi="Arial Narrow" w:cs="Arial"/>
          <w:lang w:val="sk-SK"/>
        </w:rPr>
        <w:t>34221000</w:t>
      </w:r>
      <w:r w:rsidRPr="00C35ED6">
        <w:rPr>
          <w:rFonts w:ascii="Arial Narrow" w:hAnsi="Arial Narrow" w:cs="Arial"/>
        </w:rPr>
        <w:t>-</w:t>
      </w:r>
      <w:r>
        <w:rPr>
          <w:rFonts w:ascii="Arial Narrow" w:hAnsi="Arial Narrow" w:cs="Arial"/>
          <w:lang w:val="sk-SK"/>
        </w:rPr>
        <w:t>2 Špeciálne mobilné kontajnery</w:t>
      </w: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796E8C84"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Pr>
          <w:rFonts w:ascii="Arial Narrow" w:hAnsi="Arial Narrow" w:cs="Arial"/>
          <w:lang w:val="sk-SK"/>
        </w:rPr>
        <w:t xml:space="preserve">dve (2)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5BFA2E29"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„Mobilné kontajnery</w:t>
      </w:r>
      <w:r w:rsidR="00C3062B">
        <w:rPr>
          <w:rFonts w:ascii="Arial Narrow" w:hAnsi="Arial Narrow" w:cs="Arial"/>
          <w:lang w:val="sk-SK"/>
        </w:rPr>
        <w:t>- I</w:t>
      </w:r>
      <w:r w:rsidR="00942A86">
        <w:rPr>
          <w:rFonts w:ascii="Arial Narrow" w:hAnsi="Arial Narrow" w:cs="Arial"/>
          <w:lang w:val="sk-SK"/>
        </w:rPr>
        <w:t>I</w:t>
      </w:r>
      <w:r w:rsidR="00C3062B">
        <w:rPr>
          <w:rFonts w:ascii="Arial Narrow" w:hAnsi="Arial Narrow" w:cs="Arial"/>
          <w:lang w:val="sk-SK"/>
        </w:rPr>
        <w:t>I.</w:t>
      </w:r>
      <w:r>
        <w:rPr>
          <w:rFonts w:ascii="Arial Narrow" w:hAnsi="Arial Narrow" w:cs="Arial"/>
          <w:lang w:val="sk-SK"/>
        </w:rPr>
        <w:t xml:space="preserve"> – 1. logický celok“</w:t>
      </w:r>
    </w:p>
    <w:p w14:paraId="5D726AD1" w14:textId="27C9D2EE"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„Mobilné kontajnery</w:t>
      </w:r>
      <w:r w:rsidR="00C3062B">
        <w:rPr>
          <w:rFonts w:ascii="Arial Narrow" w:hAnsi="Arial Narrow" w:cs="Arial"/>
          <w:lang w:val="sk-SK"/>
        </w:rPr>
        <w:t>- I</w:t>
      </w:r>
      <w:r w:rsidR="00942A86">
        <w:rPr>
          <w:rFonts w:ascii="Arial Narrow" w:hAnsi="Arial Narrow" w:cs="Arial"/>
          <w:lang w:val="sk-SK"/>
        </w:rPr>
        <w:t>I</w:t>
      </w:r>
      <w:r w:rsidR="00C3062B">
        <w:rPr>
          <w:rFonts w:ascii="Arial Narrow" w:hAnsi="Arial Narrow" w:cs="Arial"/>
          <w:lang w:val="sk-SK"/>
        </w:rPr>
        <w:t xml:space="preserve">I. </w:t>
      </w:r>
      <w:r>
        <w:rPr>
          <w:rFonts w:ascii="Arial Narrow" w:hAnsi="Arial Narrow" w:cs="Arial"/>
          <w:lang w:val="sk-SK"/>
        </w:rPr>
        <w:t>– 2. logický celok“</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1" w:name="SS1"/>
      <w:bookmarkEnd w:id="11"/>
    </w:p>
    <w:p w14:paraId="628B73BF" w14:textId="7D5F62F5" w:rsidR="0032549E" w:rsidRPr="00117388" w:rsidRDefault="0032549E" w:rsidP="00651FF6">
      <w:pPr>
        <w:pStyle w:val="Zarkazkladnhotextu2"/>
        <w:spacing w:after="0" w:line="240" w:lineRule="auto"/>
        <w:ind w:left="567"/>
        <w:jc w:val="both"/>
        <w:rPr>
          <w:rFonts w:ascii="Arial Narrow" w:hAnsi="Arial Narrow" w:cs="Arial"/>
          <w:b/>
        </w:rPr>
      </w:pPr>
      <w:r w:rsidRPr="00234C44">
        <w:rPr>
          <w:rFonts w:ascii="Arial Narrow" w:hAnsi="Arial Narrow" w:cs="Arial"/>
          <w:b/>
          <w:lang w:val="sk-SK"/>
        </w:rPr>
        <w:t>Časť 1:</w:t>
      </w:r>
      <w:r w:rsidR="00117388">
        <w:rPr>
          <w:rFonts w:ascii="Arial Narrow" w:hAnsi="Arial Narrow" w:cs="Arial"/>
          <w:b/>
          <w:lang w:val="sk-SK"/>
        </w:rPr>
        <w:t xml:space="preserve">     </w:t>
      </w:r>
      <w:r w:rsidRPr="00117388">
        <w:rPr>
          <w:rFonts w:ascii="Arial Narrow" w:hAnsi="Arial Narrow" w:cs="Arial"/>
        </w:rPr>
        <w:t>Hlavný predmet:</w:t>
      </w:r>
      <w:r w:rsidRPr="00117388">
        <w:rPr>
          <w:rFonts w:ascii="Arial Narrow" w:hAnsi="Arial Narrow" w:cs="Arial"/>
        </w:rPr>
        <w:tab/>
        <w:t xml:space="preserve">   </w:t>
      </w:r>
      <w:r w:rsidR="00AC76D5" w:rsidRPr="00117388">
        <w:rPr>
          <w:rFonts w:ascii="Arial Narrow" w:hAnsi="Arial Narrow" w:cs="Arial"/>
        </w:rPr>
        <w:t xml:space="preserve"> 34221000-2 Špeciálne mobilné kontajnery</w:t>
      </w:r>
      <w:r w:rsidRPr="00117388">
        <w:rPr>
          <w:rFonts w:ascii="Arial Narrow" w:hAnsi="Arial Narrow"/>
        </w:rPr>
        <w:tab/>
        <w:t xml:space="preserve">                          </w:t>
      </w:r>
    </w:p>
    <w:p w14:paraId="346BF6F0" w14:textId="1E1EE0F3" w:rsidR="0032549E" w:rsidRPr="00117388" w:rsidRDefault="0032549E" w:rsidP="00651FF6">
      <w:pPr>
        <w:pStyle w:val="Zarkazkladnhotextu2"/>
        <w:spacing w:after="0" w:line="240" w:lineRule="auto"/>
        <w:ind w:left="567"/>
        <w:jc w:val="both"/>
        <w:rPr>
          <w:rFonts w:ascii="Arial Narrow" w:hAnsi="Arial Narrow" w:cs="Arial"/>
          <w:b/>
        </w:rPr>
      </w:pPr>
      <w:r w:rsidRPr="00234C44">
        <w:rPr>
          <w:rFonts w:ascii="Arial Narrow" w:hAnsi="Arial Narrow" w:cs="Arial"/>
          <w:b/>
          <w:lang w:val="sk-SK"/>
        </w:rPr>
        <w:t>Časť 2:</w:t>
      </w:r>
      <w:r w:rsidR="00117388">
        <w:rPr>
          <w:rFonts w:ascii="Arial Narrow" w:hAnsi="Arial Narrow" w:cs="Arial"/>
          <w:b/>
          <w:lang w:val="sk-SK"/>
        </w:rPr>
        <w:t xml:space="preserve">    </w:t>
      </w:r>
      <w:r w:rsidRPr="00117388">
        <w:rPr>
          <w:rFonts w:ascii="Arial Narrow" w:hAnsi="Arial Narrow" w:cs="Arial"/>
        </w:rPr>
        <w:t xml:space="preserve"> Hlavný predmet:  </w:t>
      </w:r>
      <w:r w:rsidR="00117388">
        <w:rPr>
          <w:rFonts w:ascii="Arial Narrow" w:hAnsi="Arial Narrow" w:cs="Arial"/>
          <w:lang w:val="sk-SK"/>
        </w:rPr>
        <w:t xml:space="preserve"> </w:t>
      </w:r>
      <w:r w:rsidRPr="00117388">
        <w:rPr>
          <w:rFonts w:ascii="Arial Narrow" w:hAnsi="Arial Narrow" w:cs="Arial"/>
        </w:rPr>
        <w:t xml:space="preserve">  </w:t>
      </w:r>
      <w:r w:rsidR="00AC76D5" w:rsidRPr="00117388">
        <w:rPr>
          <w:rFonts w:ascii="Arial Narrow" w:hAnsi="Arial Narrow" w:cs="Arial"/>
        </w:rPr>
        <w:t>34221000-2 Špeciálne mobilné kontajnery</w:t>
      </w:r>
      <w:r w:rsidRPr="00117388">
        <w:rPr>
          <w:rFonts w:ascii="Arial Narrow" w:hAnsi="Arial Narrow"/>
        </w:rPr>
        <w:tab/>
        <w:t xml:space="preserve"> </w:t>
      </w:r>
      <w:r w:rsidRPr="00117388">
        <w:rPr>
          <w:rFonts w:ascii="Arial Narrow" w:hAnsi="Arial Narrow" w:cs="Arial"/>
        </w:rPr>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lastRenderedPageBreak/>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1CD476DE"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Pr="00024E87">
        <w:rPr>
          <w:rFonts w:ascii="Arial Narrow" w:hAnsi="Arial Narrow" w:cs="Arial"/>
          <w:sz w:val="22"/>
          <w:lang w:eastAsia="sk-SK"/>
        </w:rPr>
        <w:t xml:space="preserve">:  </w:t>
      </w:r>
    </w:p>
    <w:p w14:paraId="7311601C" w14:textId="001E8335" w:rsidR="00C3062B" w:rsidRPr="00117388" w:rsidRDefault="00FC7AF8" w:rsidP="00651FF6">
      <w:pPr>
        <w:pStyle w:val="Odsekzoznamu"/>
        <w:ind w:left="360"/>
        <w:rPr>
          <w:rFonts w:ascii="Arial Narrow" w:hAnsi="Arial Narrow"/>
          <w:sz w:val="22"/>
          <w:szCs w:val="22"/>
        </w:rPr>
      </w:pPr>
      <w:r>
        <w:rPr>
          <w:rFonts w:ascii="Arial Narrow" w:eastAsia="Calibri" w:hAnsi="Arial Narrow"/>
          <w:sz w:val="22"/>
          <w:szCs w:val="22"/>
          <w:lang w:eastAsia="en-US"/>
        </w:rPr>
        <w:t xml:space="preserve">   </w:t>
      </w:r>
      <w:r w:rsidR="00C3062B">
        <w:rPr>
          <w:rFonts w:ascii="Arial Narrow" w:eastAsia="Calibri" w:hAnsi="Arial Narrow"/>
          <w:sz w:val="22"/>
          <w:szCs w:val="22"/>
          <w:lang w:eastAsia="en-US"/>
        </w:rPr>
        <w:t xml:space="preserve"> </w:t>
      </w:r>
      <w:r w:rsidR="00C3062B" w:rsidRPr="00117388">
        <w:rPr>
          <w:rFonts w:ascii="Arial Narrow" w:hAnsi="Arial Narrow"/>
          <w:sz w:val="22"/>
          <w:szCs w:val="22"/>
        </w:rPr>
        <w:t>CBTČ MV SR Topoľčianky</w:t>
      </w:r>
    </w:p>
    <w:p w14:paraId="46B8A7BF" w14:textId="2D9C3CC8" w:rsidR="00C3062B" w:rsidRPr="00117388" w:rsidRDefault="00C3062B" w:rsidP="00651FF6">
      <w:pPr>
        <w:pStyle w:val="Odsekzoznamu"/>
        <w:ind w:left="360"/>
        <w:rPr>
          <w:rFonts w:ascii="Arial Narrow" w:eastAsia="Calibri" w:hAnsi="Arial Narrow"/>
          <w:sz w:val="22"/>
          <w:szCs w:val="22"/>
          <w:lang w:eastAsia="en-US"/>
        </w:rPr>
      </w:pPr>
      <w:r w:rsidRPr="00117388">
        <w:rPr>
          <w:rFonts w:ascii="Arial Narrow" w:hAnsi="Arial Narrow"/>
          <w:sz w:val="22"/>
          <w:szCs w:val="22"/>
        </w:rPr>
        <w:t xml:space="preserve">    - pracovisko Slovenská Ľupča 976 13, </w:t>
      </w:r>
      <w:r w:rsidRPr="00117388">
        <w:rPr>
          <w:rFonts w:ascii="Arial Narrow" w:eastAsia="Calibri" w:hAnsi="Arial Narrow"/>
          <w:sz w:val="22"/>
          <w:szCs w:val="22"/>
          <w:lang w:eastAsia="en-US"/>
        </w:rPr>
        <w:t>Príboj 559.</w:t>
      </w:r>
    </w:p>
    <w:p w14:paraId="1AF4FCEF" w14:textId="24873BE4" w:rsidR="00FC7AF8" w:rsidRPr="00C3062B" w:rsidRDefault="00C3062B" w:rsidP="003F0200">
      <w:pPr>
        <w:numPr>
          <w:ilvl w:val="1"/>
          <w:numId w:val="16"/>
        </w:numPr>
        <w:spacing w:after="0" w:line="240" w:lineRule="auto"/>
        <w:ind w:left="567" w:hanging="567"/>
        <w:jc w:val="both"/>
        <w:rPr>
          <w:rFonts w:ascii="Arial Narrow" w:hAnsi="Arial Narrow"/>
          <w:sz w:val="22"/>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2</w:t>
      </w:r>
      <w:r w:rsidRPr="00024E87">
        <w:rPr>
          <w:rFonts w:ascii="Arial Narrow" w:hAnsi="Arial Narrow" w:cs="Arial"/>
          <w:sz w:val="22"/>
          <w:lang w:eastAsia="sk-SK"/>
        </w:rPr>
        <w:t xml:space="preserve">:  </w:t>
      </w:r>
    </w:p>
    <w:p w14:paraId="7DD5FEAF" w14:textId="193C68F8" w:rsidR="00C3062B" w:rsidRPr="00117388" w:rsidRDefault="00C3062B" w:rsidP="00651FF6">
      <w:pPr>
        <w:pStyle w:val="Odsekzoznamu"/>
        <w:ind w:left="431"/>
        <w:jc w:val="both"/>
        <w:rPr>
          <w:rFonts w:ascii="Arial Narrow" w:hAnsi="Arial Narrow"/>
          <w:bCs/>
          <w:sz w:val="22"/>
          <w:szCs w:val="22"/>
        </w:rPr>
      </w:pPr>
      <w:r>
        <w:rPr>
          <w:rFonts w:ascii="Arial Narrow" w:hAnsi="Arial Narrow"/>
          <w:bCs/>
          <w:sz w:val="24"/>
          <w:szCs w:val="24"/>
        </w:rPr>
        <w:t xml:space="preserve">   </w:t>
      </w:r>
      <w:r w:rsidRPr="00117388">
        <w:rPr>
          <w:rFonts w:ascii="Arial Narrow" w:hAnsi="Arial Narrow"/>
          <w:bCs/>
          <w:sz w:val="22"/>
          <w:szCs w:val="22"/>
        </w:rPr>
        <w:t xml:space="preserve">Protidrogová centrála národnej kriminálnej agentúry Prezídia Policajného zboru </w:t>
      </w:r>
    </w:p>
    <w:p w14:paraId="6D71A129" w14:textId="27428A81" w:rsidR="00C3062B" w:rsidRDefault="00C3062B" w:rsidP="00651FF6">
      <w:pPr>
        <w:pStyle w:val="Odsekzoznamu"/>
        <w:ind w:left="431"/>
        <w:jc w:val="both"/>
        <w:rPr>
          <w:rFonts w:ascii="Arial Narrow" w:hAnsi="Arial Narrow"/>
          <w:bCs/>
          <w:sz w:val="22"/>
          <w:szCs w:val="22"/>
        </w:rPr>
      </w:pPr>
      <w:r w:rsidRPr="00117388">
        <w:rPr>
          <w:rFonts w:ascii="Arial Narrow" w:hAnsi="Arial Narrow"/>
          <w:bCs/>
          <w:sz w:val="22"/>
          <w:szCs w:val="22"/>
        </w:rPr>
        <w:t xml:space="preserve">  - Račianska 45, 812 72 Bratislava</w:t>
      </w:r>
      <w:r w:rsidR="00101996">
        <w:rPr>
          <w:rFonts w:ascii="Arial Narrow" w:hAnsi="Arial Narrow"/>
          <w:bCs/>
          <w:sz w:val="22"/>
          <w:szCs w:val="22"/>
        </w:rPr>
        <w:t>.</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7B5E7B9B"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8C2274">
        <w:rPr>
          <w:rFonts w:ascii="Arial Narrow" w:hAnsi="Arial Narrow"/>
          <w:sz w:val="22"/>
          <w:szCs w:val="22"/>
        </w:rPr>
        <w:t>6</w:t>
      </w:r>
      <w:r>
        <w:rPr>
          <w:rFonts w:ascii="Arial Narrow" w:hAnsi="Arial Narrow"/>
          <w:sz w:val="22"/>
          <w:szCs w:val="22"/>
        </w:rPr>
        <w:t xml:space="preserve"> mesiacov odo dňa nadobudnutia účinnosti Kúpnej zmluvy.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C0A1CB2" w14:textId="2F60DA20" w:rsidR="00531E2F" w:rsidRDefault="00531E2F" w:rsidP="003F0200">
      <w:pPr>
        <w:pStyle w:val="Zarkazkladnhotextu2"/>
        <w:numPr>
          <w:ilvl w:val="1"/>
          <w:numId w:val="16"/>
        </w:numPr>
        <w:spacing w:after="0" w:line="240" w:lineRule="auto"/>
        <w:ind w:left="567" w:hanging="567"/>
        <w:jc w:val="both"/>
        <w:rPr>
          <w:rFonts w:ascii="Arial Narrow" w:hAnsi="Arial Narrow" w:cs="Arial"/>
        </w:rPr>
      </w:pPr>
      <w:bookmarkStart w:id="13" w:name="financovanie"/>
      <w:bookmarkEnd w:id="13"/>
      <w:r w:rsidRPr="00B56F1B">
        <w:rPr>
          <w:rFonts w:ascii="Arial Narrow" w:hAnsi="Arial Narrow" w:cs="Arial"/>
        </w:rPr>
        <w:t xml:space="preserve">Predmet zákazky bude financovaný zo zdrojov nadobudnutých </w:t>
      </w:r>
      <w:r>
        <w:rPr>
          <w:rFonts w:ascii="Arial Narrow" w:hAnsi="Arial Narrow" w:cs="Arial"/>
          <w:lang w:val="sk-SK"/>
        </w:rPr>
        <w:t xml:space="preserve">verejným </w:t>
      </w:r>
      <w:r w:rsidRPr="00B56F1B">
        <w:rPr>
          <w:rFonts w:ascii="Arial Narrow" w:hAnsi="Arial Narrow" w:cs="Arial"/>
        </w:rPr>
        <w:t>obstarávateľom poskytovan</w:t>
      </w:r>
      <w:r>
        <w:rPr>
          <w:rFonts w:ascii="Arial Narrow" w:hAnsi="Arial Narrow" w:cs="Arial"/>
        </w:rPr>
        <w:t>ých</w:t>
      </w:r>
      <w:r w:rsidRPr="00B56F1B">
        <w:rPr>
          <w:rFonts w:ascii="Arial Narrow" w:hAnsi="Arial Narrow" w:cs="Arial"/>
        </w:rPr>
        <w:t xml:space="preserve"> z fondov Európskeho spoločenstva, z prostriedkov Európskych štrukturálnych a investičných fondov (EŠIF)</w:t>
      </w:r>
      <w:r>
        <w:rPr>
          <w:rFonts w:ascii="Arial Narrow" w:hAnsi="Arial Narrow" w:cs="Arial"/>
        </w:rPr>
        <w:t xml:space="preserve"> – </w:t>
      </w:r>
      <w:r w:rsidRPr="005675C8">
        <w:rPr>
          <w:rFonts w:ascii="Arial Narrow" w:hAnsi="Arial Narrow" w:cs="Arial"/>
        </w:rPr>
        <w:t xml:space="preserve">grant </w:t>
      </w:r>
      <w:r w:rsidRPr="005675C8">
        <w:rPr>
          <w:rFonts w:ascii="Arial Narrow" w:hAnsi="Arial Narrow" w:cs="Arial"/>
          <w:lang w:val="sk-SK"/>
        </w:rPr>
        <w:t>VZ</w:t>
      </w:r>
      <w:r w:rsidR="0014673C" w:rsidRPr="005675C8">
        <w:rPr>
          <w:rFonts w:ascii="Arial Narrow" w:hAnsi="Arial Narrow" w:cs="Arial"/>
          <w:lang w:val="sk-SK"/>
        </w:rPr>
        <w:t>161</w:t>
      </w:r>
      <w:r w:rsidRPr="005675C8">
        <w:rPr>
          <w:rFonts w:ascii="Arial Narrow" w:hAnsi="Arial Narrow" w:cs="Arial"/>
          <w:lang w:val="sk-SK"/>
        </w:rPr>
        <w:t>P510301</w:t>
      </w:r>
      <w:r w:rsidRPr="005675C8">
        <w:rPr>
          <w:rFonts w:ascii="Arial Narrow" w:hAnsi="Arial Narrow" w:cs="Arial"/>
        </w:rPr>
        <w:t xml:space="preserve"> k projektu číslo </w:t>
      </w:r>
      <w:r w:rsidRPr="005675C8">
        <w:rPr>
          <w:rFonts w:ascii="Arial Narrow" w:hAnsi="Arial Narrow" w:cs="Arial"/>
          <w:lang w:val="sk-SK"/>
        </w:rPr>
        <w:t>SK201</w:t>
      </w:r>
      <w:r w:rsidR="0014673C" w:rsidRPr="005675C8">
        <w:rPr>
          <w:rFonts w:ascii="Arial Narrow" w:hAnsi="Arial Narrow" w:cs="Arial"/>
          <w:lang w:val="sk-SK"/>
        </w:rPr>
        <w:t>6</w:t>
      </w:r>
      <w:r w:rsidRPr="005675C8">
        <w:rPr>
          <w:rFonts w:ascii="Arial Narrow" w:hAnsi="Arial Narrow" w:cs="Arial"/>
          <w:lang w:val="sk-SK"/>
        </w:rPr>
        <w:t xml:space="preserve"> ISF SC5/N</w:t>
      </w:r>
      <w:r w:rsidR="0014673C" w:rsidRPr="005675C8">
        <w:rPr>
          <w:rFonts w:ascii="Arial Narrow" w:hAnsi="Arial Narrow" w:cs="Arial"/>
          <w:lang w:val="sk-SK"/>
        </w:rPr>
        <w:t>C</w:t>
      </w:r>
      <w:r w:rsidRPr="005675C8">
        <w:rPr>
          <w:rFonts w:ascii="Arial Narrow" w:hAnsi="Arial Narrow" w:cs="Arial"/>
          <w:lang w:val="sk-SK"/>
        </w:rPr>
        <w:t>1/A3/P</w:t>
      </w:r>
      <w:r w:rsidR="0014673C" w:rsidRPr="005675C8">
        <w:rPr>
          <w:rFonts w:ascii="Arial Narrow" w:hAnsi="Arial Narrow" w:cs="Arial"/>
          <w:lang w:val="sk-SK"/>
        </w:rPr>
        <w:t>1</w:t>
      </w:r>
      <w:r w:rsidRPr="005675C8">
        <w:rPr>
          <w:rFonts w:ascii="Arial Narrow" w:hAnsi="Arial Narrow" w:cs="Arial"/>
        </w:rPr>
        <w:t xml:space="preserve"> s názvom projektu „</w:t>
      </w:r>
      <w:r w:rsidR="009645A5" w:rsidRPr="005675C8">
        <w:rPr>
          <w:rFonts w:ascii="Arial Narrow" w:hAnsi="Arial Narrow" w:cs="Arial"/>
          <w:lang w:val="sk-SK"/>
        </w:rPr>
        <w:t>Zavedenie nástrojov a metód pre boj proti drogovej a farmaceutickej kriminalite</w:t>
      </w:r>
      <w:r w:rsidRPr="005675C8">
        <w:rPr>
          <w:rFonts w:ascii="Arial Narrow" w:hAnsi="Arial Narrow" w:cs="Arial"/>
        </w:rPr>
        <w:t>“, prípadne z iných relevantných</w:t>
      </w:r>
      <w:r w:rsidRPr="00B56F1B">
        <w:rPr>
          <w:rFonts w:ascii="Arial Narrow" w:hAnsi="Arial Narrow" w:cs="Arial"/>
        </w:rPr>
        <w:t xml:space="preserve"> programov, fondov a finančných mechanizmov, z príspevku štátneho rozpočtu </w:t>
      </w:r>
      <w:r w:rsidRPr="00C8346F">
        <w:rPr>
          <w:rFonts w:ascii="Arial Narrow" w:hAnsi="Arial Narrow" w:cs="Arial"/>
        </w:rPr>
        <w:t>ako aj z iných prípadných prostriedkov verejn</w:t>
      </w:r>
      <w:r>
        <w:rPr>
          <w:rFonts w:ascii="Arial Narrow" w:hAnsi="Arial Narrow" w:cs="Arial"/>
        </w:rPr>
        <w:t>ého</w:t>
      </w:r>
      <w:r w:rsidRPr="00C8346F">
        <w:rPr>
          <w:rFonts w:ascii="Arial Narrow" w:hAnsi="Arial Narrow" w:cs="Arial"/>
        </w:rPr>
        <w:t xml:space="preserve"> obstarávateľ</w:t>
      </w:r>
      <w:r>
        <w:rPr>
          <w:rFonts w:ascii="Arial Narrow" w:hAnsi="Arial Narrow" w:cs="Arial"/>
        </w:rPr>
        <w:t>a</w:t>
      </w:r>
      <w:r w:rsidRPr="00C8346F">
        <w:rPr>
          <w:rFonts w:ascii="Arial Narrow" w:hAnsi="Arial Narrow" w:cs="Arial"/>
        </w:rPr>
        <w:t>.</w:t>
      </w:r>
      <w:r w:rsidRPr="00B56F1B">
        <w:rPr>
          <w:rFonts w:ascii="Arial Narrow" w:hAnsi="Arial Narrow" w:cs="Arial"/>
        </w:rPr>
        <w:t xml:space="preserve"> </w:t>
      </w:r>
    </w:p>
    <w:p w14:paraId="1EB62A3C" w14:textId="68B4ECD9"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Pr="005675C8">
        <w:rPr>
          <w:rFonts w:ascii="Arial Narrow" w:hAnsi="Arial Narrow" w:cs="Arial"/>
          <w:lang w:val="sk-SK"/>
        </w:rPr>
        <w:t>1</w:t>
      </w:r>
      <w:r w:rsidR="00942A86">
        <w:rPr>
          <w:rFonts w:ascii="Arial Narrow" w:hAnsi="Arial Narrow" w:cs="Arial"/>
          <w:lang w:val="sk-SK"/>
        </w:rPr>
        <w:t>7</w:t>
      </w:r>
      <w:r w:rsidR="00AC76D5">
        <w:rPr>
          <w:rFonts w:ascii="Arial Narrow" w:hAnsi="Arial Narrow" w:cs="Arial"/>
          <w:lang w:val="sk-SK"/>
        </w:rPr>
        <w:t>4 </w:t>
      </w:r>
      <w:r w:rsidR="00942A86">
        <w:rPr>
          <w:rFonts w:ascii="Arial Narrow" w:hAnsi="Arial Narrow" w:cs="Arial"/>
          <w:lang w:val="sk-SK"/>
        </w:rPr>
        <w:t>888</w:t>
      </w:r>
      <w:r w:rsidR="00AC76D5">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4D7F0C26" w14:textId="4575E8FE" w:rsidR="00767150" w:rsidRPr="00FE6910" w:rsidRDefault="00767150"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1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942A86">
        <w:rPr>
          <w:rFonts w:ascii="Arial Narrow" w:hAnsi="Arial Narrow" w:cs="Arial"/>
          <w:lang w:val="sk-SK"/>
        </w:rPr>
        <w:t xml:space="preserve">  66</w:t>
      </w:r>
      <w:r w:rsidR="00AC76D5">
        <w:rPr>
          <w:rFonts w:ascii="Arial Narrow" w:hAnsi="Arial Narrow" w:cs="Arial"/>
          <w:lang w:val="sk-SK"/>
        </w:rPr>
        <w:t xml:space="preserve"> </w:t>
      </w:r>
      <w:r w:rsidR="00942A86">
        <w:rPr>
          <w:rFonts w:ascii="Arial Narrow" w:hAnsi="Arial Narrow" w:cs="Arial"/>
          <w:lang w:val="sk-SK"/>
        </w:rPr>
        <w:t>888</w:t>
      </w:r>
      <w:r>
        <w:rPr>
          <w:rFonts w:ascii="Arial Narrow" w:hAnsi="Arial Narrow" w:cs="Arial"/>
          <w:lang w:val="sk-SK"/>
        </w:rPr>
        <w:t>,</w:t>
      </w:r>
      <w:r w:rsidR="00AC76D5">
        <w:rPr>
          <w:rFonts w:ascii="Arial Narrow" w:hAnsi="Arial Narrow" w:cs="Arial"/>
          <w:lang w:val="sk-SK"/>
        </w:rPr>
        <w:t>00</w:t>
      </w:r>
      <w:r w:rsidRPr="00FE6910">
        <w:rPr>
          <w:rFonts w:ascii="Arial Narrow" w:hAnsi="Arial Narrow" w:cs="Arial"/>
        </w:rPr>
        <w:t xml:space="preserve"> EUR bez DPH.</w:t>
      </w:r>
    </w:p>
    <w:p w14:paraId="1E01EB2B" w14:textId="6BD42AAC" w:rsidR="00767150" w:rsidRDefault="00767150"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942A86">
        <w:rPr>
          <w:rFonts w:ascii="Arial Narrow" w:hAnsi="Arial Narrow" w:cs="Arial"/>
          <w:lang w:val="sk-SK"/>
        </w:rPr>
        <w:t>108 000</w:t>
      </w:r>
      <w:r w:rsidR="00AC76D5">
        <w:rPr>
          <w:rFonts w:ascii="Arial Narrow" w:hAnsi="Arial Narrow" w:cs="Arial"/>
          <w:lang w:val="sk-SK"/>
        </w:rPr>
        <w:t>,00</w:t>
      </w:r>
      <w:r w:rsidRPr="00FE6910">
        <w:rPr>
          <w:rFonts w:ascii="Arial Narrow" w:hAnsi="Arial Narrow" w:cs="Arial"/>
        </w:rPr>
        <w:t xml:space="preserve"> EUR bez DPH. </w:t>
      </w:r>
    </w:p>
    <w:p w14:paraId="00AAFFD9" w14:textId="77777777" w:rsidR="00FC3162" w:rsidRDefault="00FC3162"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4"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4"/>
    </w:p>
    <w:p w14:paraId="0467E7A8"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651FF6">
        <w:rPr>
          <w:rFonts w:ascii="Arial Narrow" w:hAnsi="Arial Narrow"/>
          <w:sz w:val="22"/>
          <w:szCs w:val="22"/>
        </w:rPr>
        <w:t>.</w:t>
      </w:r>
      <w:bookmarkEnd w:id="17"/>
    </w:p>
    <w:bookmarkEnd w:id="15"/>
    <w:p w14:paraId="1B7B8950"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lastRenderedPageBreak/>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20" w:name="_Hlk534970984"/>
    </w:p>
    <w:bookmarkEnd w:id="18"/>
    <w:bookmarkEnd w:id="20"/>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083667E8"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Pr>
          <w:rFonts w:ascii="Arial Narrow" w:hAnsi="Arial Narrow" w:cs="Arial"/>
          <w:sz w:val="22"/>
          <w:szCs w:val="22"/>
        </w:rPr>
        <w:t xml:space="preserve">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5FDCD23F"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5E68FB8F" w14:textId="77777777" w:rsidR="00D45B31" w:rsidRPr="00F2405F"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w:t>
      </w:r>
      <w:r w:rsidRPr="00F2405F">
        <w:rPr>
          <w:rFonts w:ascii="Arial Narrow" w:hAnsi="Arial Narrow" w:cs="Arial"/>
          <w:sz w:val="22"/>
        </w:rPr>
        <w:lastRenderedPageBreak/>
        <w:t xml:space="preserve">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7777777" w:rsidR="00D45B31" w:rsidRPr="0038077B"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27F1E651"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00065F6B" w:rsidRPr="00136872">
        <w:rPr>
          <w:rFonts w:ascii="Arial Narrow" w:hAnsi="Arial Narrow" w:cs="Arial"/>
          <w:b/>
          <w:bCs/>
          <w:smallCaps/>
          <w:sz w:val="22"/>
        </w:rPr>
        <w:t xml:space="preserve"> ponuky</w:t>
      </w:r>
    </w:p>
    <w:p w14:paraId="35B9B846" w14:textId="05253447" w:rsidR="00136872" w:rsidRPr="00DF6A9C" w:rsidRDefault="00136872" w:rsidP="00CB225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 xml:space="preserve">18.1 </w:t>
      </w:r>
      <w:r w:rsidR="00CB2253">
        <w:rPr>
          <w:rFonts w:ascii="Arial Narrow" w:hAnsi="Arial Narrow" w:cs="Arial"/>
          <w:sz w:val="22"/>
          <w:szCs w:val="22"/>
        </w:rPr>
        <w:t xml:space="preserve">   </w:t>
      </w: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spôsobom určeným funkcionalitou systému JOSEPHINE.</w:t>
      </w:r>
      <w:bookmarkEnd w:id="27"/>
      <w:r w:rsidRPr="00D7034C">
        <w:rPr>
          <w:rFonts w:ascii="Arial Narrow" w:hAnsi="Arial Narrow" w:cs="Arial"/>
          <w:sz w:val="22"/>
          <w:szCs w:val="22"/>
        </w:rPr>
        <w:t xml:space="preserve"> Uchádzač</w:t>
      </w:r>
      <w:r w:rsidRPr="00DF6A9C">
        <w:rPr>
          <w:rFonts w:ascii="Arial Narrow" w:hAnsi="Arial Narrow" w:cs="Arial"/>
          <w:sz w:val="22"/>
          <w:szCs w:val="22"/>
        </w:rPr>
        <w:t xml:space="preserve"> nemôže byť v tom istom postupe zadávania zákazky členom skupiny dodávateľov, ktorá predkladá ponuku. Verejný obstarávateľ vylúči uchádzača, ktorý je súčasne členom skupiny dodávateľov.</w:t>
      </w:r>
    </w:p>
    <w:p w14:paraId="30DF3843" w14:textId="58A15AFD"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Pr="00091214">
        <w:rPr>
          <w:rFonts w:ascii="Arial Narrow" w:hAnsi="Arial Narrow"/>
          <w:sz w:val="22"/>
          <w:szCs w:val="22"/>
        </w:rPr>
        <w:t>systému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systému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9"/>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0101F888" w14:textId="77777777"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2" w:name="_Hlk522982992"/>
      <w:r w:rsidRPr="003C0DA5">
        <w:rPr>
          <w:rFonts w:ascii="Arial Narrow" w:hAnsi="Arial Narrow"/>
          <w:sz w:val="22"/>
          <w:szCs w:val="22"/>
        </w:rPr>
        <w:t>svoje ponuky v lehote na predkladanie ponúk výlučne elektronicky, spôsobom určeným funkcionalitou systému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2"/>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3" w:name="_Hlk37051167"/>
      <w:bookmarkStart w:id="34"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Pr="003C0DA5">
        <w:rPr>
          <w:rFonts w:ascii="Arial Narrow" w:hAnsi="Arial Narrow"/>
          <w:sz w:val="22"/>
          <w:szCs w:val="22"/>
        </w:rPr>
        <w:t>.</w:t>
      </w:r>
      <w:bookmarkEnd w:id="35"/>
    </w:p>
    <w:p w14:paraId="4EEA486E"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Pr="003C0DA5">
        <w:rPr>
          <w:rFonts w:ascii="Arial Narrow" w:hAnsi="Arial Narrow" w:cs="Arial"/>
          <w:sz w:val="22"/>
          <w:szCs w:val="22"/>
        </w:rPr>
        <w:t>.</w:t>
      </w:r>
      <w:bookmarkEnd w:id="39"/>
    </w:p>
    <w:p w14:paraId="0CE98E96"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5A883805"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informácia o výsledku vyhodnocovania ponúk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7FC2FF9" w14:textId="77777777" w:rsidR="00CB2253" w:rsidRPr="003C0DA5"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5916CDF5" w14:textId="77777777" w:rsidR="00AB48C1" w:rsidRDefault="00AB48C1" w:rsidP="00CB2253">
      <w:pPr>
        <w:spacing w:after="0" w:line="240" w:lineRule="auto"/>
        <w:jc w:val="center"/>
        <w:rPr>
          <w:rFonts w:ascii="Arial Narrow" w:hAnsi="Arial Narrow" w:cs="Arial"/>
          <w:b/>
          <w:sz w:val="22"/>
        </w:rPr>
      </w:pPr>
    </w:p>
    <w:p w14:paraId="5AE80293" w14:textId="77777777" w:rsidR="00AB48C1" w:rsidRDefault="00AB48C1" w:rsidP="00CB2253">
      <w:pPr>
        <w:spacing w:after="0" w:line="240" w:lineRule="auto"/>
        <w:jc w:val="center"/>
        <w:rPr>
          <w:rFonts w:ascii="Arial Narrow" w:hAnsi="Arial Narrow" w:cs="Arial"/>
          <w:b/>
          <w:sz w:val="22"/>
        </w:rPr>
      </w:pPr>
    </w:p>
    <w:p w14:paraId="11B7A1B0" w14:textId="77777777" w:rsidR="00AB48C1" w:rsidRDefault="00AB48C1" w:rsidP="00CB2253">
      <w:pPr>
        <w:spacing w:after="0" w:line="240" w:lineRule="auto"/>
        <w:jc w:val="center"/>
        <w:rPr>
          <w:rFonts w:ascii="Arial Narrow" w:hAnsi="Arial Narrow" w:cs="Arial"/>
          <w:b/>
          <w:sz w:val="22"/>
        </w:rPr>
      </w:pPr>
    </w:p>
    <w:p w14:paraId="4CC2A013" w14:textId="77777777" w:rsidR="00AB48C1" w:rsidRDefault="00AB48C1" w:rsidP="00CB2253">
      <w:pPr>
        <w:spacing w:after="0" w:line="240" w:lineRule="auto"/>
        <w:jc w:val="center"/>
        <w:rPr>
          <w:rFonts w:ascii="Arial Narrow" w:hAnsi="Arial Narrow" w:cs="Arial"/>
          <w:b/>
          <w:sz w:val="22"/>
        </w:rPr>
      </w:pPr>
    </w:p>
    <w:p w14:paraId="350C318F" w14:textId="77777777" w:rsidR="004F0513" w:rsidRDefault="004F0513"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77777777"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Pr="00DE69B5">
        <w:rPr>
          <w:rFonts w:ascii="Arial Narrow" w:hAnsi="Arial Narrow" w:cs="Arial"/>
          <w:sz w:val="22"/>
          <w:szCs w:val="22"/>
        </w:rPr>
        <w:t>Kúpna zmluva.</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437DD45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F0513">
        <w:rPr>
          <w:rFonts w:ascii="Arial Narrow" w:hAnsi="Arial Narrow" w:cs="Arial"/>
          <w:sz w:val="22"/>
        </w:rPr>
        <w:t>.</w:t>
      </w:r>
    </w:p>
    <w:p w14:paraId="4E818D34" w14:textId="77777777" w:rsidR="00CB2253" w:rsidRPr="00F0264C"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w:t>
      </w:r>
      <w:r w:rsidRPr="00F0264C">
        <w:rPr>
          <w:rFonts w:ascii="Arial Narrow" w:hAnsi="Arial Narrow"/>
          <w:sz w:val="22"/>
          <w:szCs w:val="22"/>
        </w:rPr>
        <w:br/>
        <w:t>do registra partnerov verejného sektora a nie sú zapísaní v registri partnerov verejného sektora.</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6B8DE483" w14:textId="77777777" w:rsidR="00CA3E81" w:rsidRPr="00CA613C"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r>
      <w:rPr>
        <w:rFonts w:ascii="Arial Narrow" w:hAnsi="Arial Narrow"/>
        <w:sz w:val="18"/>
        <w:szCs w:val="18"/>
      </w:rPr>
      <w:t>Mobilné kontajnery– III.</w:t>
    </w:r>
    <w:bookmarkEnd w:id="42"/>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B35C8">
      <w:rPr>
        <w:rFonts w:ascii="Arial Narrow" w:hAnsi="Arial Narrow"/>
        <w:noProof/>
        <w:szCs w:val="20"/>
      </w:rPr>
      <w:t>9</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5">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8">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8">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1">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27"/>
  </w:num>
  <w:num w:numId="2">
    <w:abstractNumId w:val="12"/>
  </w:num>
  <w:num w:numId="3">
    <w:abstractNumId w:val="21"/>
  </w:num>
  <w:num w:numId="4">
    <w:abstractNumId w:val="17"/>
  </w:num>
  <w:num w:numId="5">
    <w:abstractNumId w:val="24"/>
  </w:num>
  <w:num w:numId="6">
    <w:abstractNumId w:val="26"/>
  </w:num>
  <w:num w:numId="7">
    <w:abstractNumId w:val="3"/>
  </w:num>
  <w:num w:numId="8">
    <w:abstractNumId w:val="10"/>
  </w:num>
  <w:num w:numId="9">
    <w:abstractNumId w:val="20"/>
  </w:num>
  <w:num w:numId="10">
    <w:abstractNumId w:val="23"/>
  </w:num>
  <w:num w:numId="11">
    <w:abstractNumId w:val="15"/>
  </w:num>
  <w:num w:numId="12">
    <w:abstractNumId w:val="4"/>
  </w:num>
  <w:num w:numId="13">
    <w:abstractNumId w:val="11"/>
  </w:num>
  <w:num w:numId="14">
    <w:abstractNumId w:val="6"/>
  </w:num>
  <w:num w:numId="15">
    <w:abstractNumId w:val="7"/>
  </w:num>
  <w:num w:numId="16">
    <w:abstractNumId w:val="28"/>
  </w:num>
  <w:num w:numId="17">
    <w:abstractNumId w:val="25"/>
  </w:num>
  <w:num w:numId="18">
    <w:abstractNumId w:val="18"/>
  </w:num>
  <w:num w:numId="19">
    <w:abstractNumId w:val="16"/>
  </w:num>
  <w:num w:numId="20">
    <w:abstractNumId w:val="13"/>
  </w:num>
  <w:num w:numId="21">
    <w:abstractNumId w:val="2"/>
  </w:num>
  <w:num w:numId="22">
    <w:abstractNumId w:val="19"/>
  </w:num>
  <w:num w:numId="23">
    <w:abstractNumId w:val="9"/>
  </w:num>
  <w:num w:numId="24">
    <w:abstractNumId w:val="1"/>
  </w:num>
  <w:num w:numId="25">
    <w:abstractNumId w:val="29"/>
  </w:num>
  <w:num w:numId="26">
    <w:abstractNumId w:val="22"/>
  </w:num>
  <w:num w:numId="27">
    <w:abstractNumId w:val="14"/>
  </w:num>
  <w:num w:numId="28">
    <w:abstractNumId w:val="8"/>
  </w:num>
  <w:num w:numId="29">
    <w:abstractNumId w:val="5"/>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256A-954D-4CEE-B2E6-3591555E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4124</Words>
  <Characters>23511</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27580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2022-01-20T11:57:00Z</dcterms:modified>
</cp:coreProperties>
</file>