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9621F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8A16CCD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ZMLUVA O DODÁVKE PLYNU</w:t>
      </w:r>
    </w:p>
    <w:p w14:paraId="23D7C22D" w14:textId="77777777" w:rsidR="00A63A6E" w:rsidRPr="0070001E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zmluva</w:t>
      </w:r>
      <w:r w:rsidRPr="0070001E">
        <w:rPr>
          <w:rFonts w:ascii="Arial" w:hAnsi="Arial" w:cs="Arial"/>
          <w:color w:val="auto"/>
          <w:sz w:val="22"/>
          <w:szCs w:val="22"/>
        </w:rPr>
        <w:t>“)</w:t>
      </w:r>
    </w:p>
    <w:p w14:paraId="2740F9B0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medzi:</w:t>
      </w:r>
    </w:p>
    <w:p w14:paraId="02B797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8380250" w14:textId="096F8EC4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Názov odberateľa</w:t>
      </w:r>
      <w:r w:rsidRPr="005565D2">
        <w:rPr>
          <w:rFonts w:ascii="Arial" w:hAnsi="Arial" w:cs="Arial"/>
          <w:color w:val="auto"/>
          <w:sz w:val="22"/>
          <w:szCs w:val="22"/>
        </w:rPr>
        <w:t>:</w:t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77BDA43B" w14:textId="17C4B74B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Sídlo: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</w:p>
    <w:p w14:paraId="4152753A" w14:textId="70B873A9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Zastúpenie: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</w:p>
    <w:p w14:paraId="13680D69" w14:textId="6F3A1C2B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IČO: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</w:p>
    <w:p w14:paraId="19D738BC" w14:textId="23578E8A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>DIČ: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</w:p>
    <w:p w14:paraId="70A831A0" w14:textId="710413C7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Bankové spojenie: </w:t>
      </w:r>
      <w:r w:rsidRPr="00E371B2">
        <w:rPr>
          <w:rFonts w:ascii="Arial" w:eastAsia="Times New Roman" w:hAnsi="Arial" w:cs="Arial"/>
          <w:lang w:eastAsia="ar-SA"/>
        </w:rPr>
        <w:tab/>
      </w:r>
    </w:p>
    <w:p w14:paraId="7F84C334" w14:textId="4477BCB8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Č. účtu: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</w:p>
    <w:p w14:paraId="23419A4D" w14:textId="408FA966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SWIFT/BIC: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</w:p>
    <w:p w14:paraId="26C951EB" w14:textId="62627DA0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>Tel.: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</w:p>
    <w:p w14:paraId="145864F6" w14:textId="777A5F94" w:rsidR="00A63A6E" w:rsidRPr="00E371B2" w:rsidRDefault="00A63A6E" w:rsidP="00A63A6E">
      <w:pPr>
        <w:suppressAutoHyphens/>
        <w:spacing w:after="0" w:line="240" w:lineRule="auto"/>
        <w:rPr>
          <w:rFonts w:ascii="Arial" w:eastAsia="Times New Roman" w:hAnsi="Arial" w:cs="Arial"/>
          <w:lang w:eastAsia="ar-SA"/>
        </w:rPr>
      </w:pPr>
      <w:r w:rsidRPr="00E371B2">
        <w:rPr>
          <w:rFonts w:ascii="Arial" w:eastAsia="Times New Roman" w:hAnsi="Arial" w:cs="Arial"/>
          <w:lang w:eastAsia="ar-SA"/>
        </w:rPr>
        <w:t xml:space="preserve">E-mail: </w:t>
      </w:r>
      <w:r w:rsidRPr="00E371B2">
        <w:rPr>
          <w:rFonts w:ascii="Arial" w:eastAsia="Times New Roman" w:hAnsi="Arial" w:cs="Arial"/>
          <w:lang w:eastAsia="ar-SA"/>
        </w:rPr>
        <w:tab/>
      </w:r>
      <w:r w:rsidRPr="00E371B2">
        <w:rPr>
          <w:rFonts w:ascii="Arial" w:eastAsia="Times New Roman" w:hAnsi="Arial" w:cs="Arial"/>
          <w:lang w:eastAsia="ar-SA"/>
        </w:rPr>
        <w:tab/>
      </w:r>
    </w:p>
    <w:p w14:paraId="1E25FAE0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 </w:t>
      </w:r>
    </w:p>
    <w:p w14:paraId="32161E1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(</w:t>
      </w:r>
      <w:r w:rsidRPr="005565D2">
        <w:rPr>
          <w:rFonts w:ascii="Arial" w:hAnsi="Arial" w:cs="Arial"/>
          <w:i/>
        </w:rPr>
        <w:t>ďalej len</w:t>
      </w:r>
      <w:r w:rsidRPr="005565D2">
        <w:rPr>
          <w:rFonts w:ascii="Arial" w:hAnsi="Arial" w:cs="Arial"/>
        </w:rPr>
        <w:t xml:space="preserve"> </w:t>
      </w:r>
      <w:r w:rsidRPr="005565D2">
        <w:rPr>
          <w:rFonts w:ascii="Arial" w:hAnsi="Arial" w:cs="Arial"/>
          <w:b/>
        </w:rPr>
        <w:t>„</w:t>
      </w:r>
      <w:r w:rsidRPr="005565D2">
        <w:rPr>
          <w:rFonts w:ascii="Arial" w:hAnsi="Arial" w:cs="Arial"/>
          <w:b/>
          <w:i/>
        </w:rPr>
        <w:t>Odberateľ“</w:t>
      </w:r>
      <w:r w:rsidRPr="005565D2">
        <w:rPr>
          <w:rFonts w:ascii="Arial" w:hAnsi="Arial" w:cs="Arial"/>
        </w:rPr>
        <w:t>)</w:t>
      </w:r>
    </w:p>
    <w:p w14:paraId="158E4E53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F5F8F6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a</w:t>
      </w:r>
    </w:p>
    <w:p w14:paraId="600E618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22C0477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Názov dodávateľa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: </w:t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45828EC0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Sídlo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: </w:t>
      </w:r>
      <w:r w:rsidRPr="005565D2">
        <w:rPr>
          <w:rFonts w:ascii="Arial" w:hAnsi="Arial" w:cs="Arial"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3CAB3284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v zastúpení: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EBDD8D5" w14:textId="77777777" w:rsidR="00A63A6E" w:rsidRPr="005565D2" w:rsidRDefault="00A63A6E" w:rsidP="00A63A6E">
      <w:pPr>
        <w:pStyle w:val="Default"/>
        <w:ind w:left="2124" w:hanging="2124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zápis: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243425EB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IČO: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7F9F673B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>DIČ: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ab/>
      </w:r>
      <w:r w:rsidRPr="005565D2">
        <w:rPr>
          <w:rFonts w:ascii="Arial" w:hAnsi="Arial" w:cs="Arial"/>
          <w:color w:val="auto"/>
          <w:sz w:val="22"/>
          <w:szCs w:val="22"/>
        </w:rPr>
        <w:tab/>
      </w:r>
    </w:p>
    <w:p w14:paraId="214851D9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 xml:space="preserve">IČ DPH: 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6E78BEC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bCs/>
          <w:color w:val="auto"/>
          <w:sz w:val="22"/>
          <w:szCs w:val="22"/>
        </w:rPr>
        <w:t xml:space="preserve">Bankové spojenie: </w:t>
      </w:r>
      <w:r w:rsidRPr="005565D2">
        <w:rPr>
          <w:rFonts w:ascii="Arial" w:hAnsi="Arial" w:cs="Arial"/>
          <w:b/>
          <w:bCs/>
          <w:color w:val="auto"/>
          <w:sz w:val="22"/>
          <w:szCs w:val="22"/>
        </w:rPr>
        <w:tab/>
      </w:r>
    </w:p>
    <w:p w14:paraId="293BED67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Číslo účtu:</w:t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  <w:r w:rsidRPr="005565D2">
        <w:rPr>
          <w:rFonts w:ascii="Arial" w:hAnsi="Arial" w:cs="Arial"/>
          <w:b/>
          <w:color w:val="auto"/>
          <w:sz w:val="22"/>
          <w:szCs w:val="22"/>
        </w:rPr>
        <w:tab/>
      </w:r>
    </w:p>
    <w:p w14:paraId="7B0F4DE0" w14:textId="77777777" w:rsidR="00A63A6E" w:rsidRPr="005565D2" w:rsidRDefault="00A63A6E" w:rsidP="00A63A6E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152B72D4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0001E">
        <w:rPr>
          <w:rFonts w:ascii="Arial" w:hAnsi="Arial" w:cs="Arial"/>
          <w:color w:val="auto"/>
          <w:sz w:val="22"/>
          <w:szCs w:val="22"/>
        </w:rPr>
        <w:t xml:space="preserve">(ďalej len </w:t>
      </w:r>
      <w:r w:rsidRPr="0070001E">
        <w:rPr>
          <w:rFonts w:ascii="Arial" w:hAnsi="Arial" w:cs="Arial"/>
          <w:b/>
          <w:color w:val="auto"/>
          <w:sz w:val="22"/>
          <w:szCs w:val="22"/>
        </w:rPr>
        <w:t>„</w:t>
      </w:r>
      <w:r w:rsidRPr="0070001E">
        <w:rPr>
          <w:rFonts w:ascii="Arial" w:hAnsi="Arial" w:cs="Arial"/>
          <w:b/>
          <w:i/>
          <w:iCs/>
          <w:color w:val="auto"/>
          <w:sz w:val="22"/>
          <w:szCs w:val="22"/>
        </w:rPr>
        <w:t>Dodávateľ</w:t>
      </w:r>
      <w:r w:rsidRPr="0070001E">
        <w:rPr>
          <w:rFonts w:ascii="Arial" w:hAnsi="Arial" w:cs="Arial"/>
          <w:b/>
          <w:color w:val="auto"/>
          <w:sz w:val="22"/>
          <w:szCs w:val="22"/>
        </w:rPr>
        <w:t>“</w:t>
      </w:r>
      <w:r w:rsidRPr="0070001E">
        <w:rPr>
          <w:rFonts w:ascii="Arial" w:hAnsi="Arial" w:cs="Arial"/>
          <w:color w:val="auto"/>
          <w:sz w:val="22"/>
          <w:szCs w:val="22"/>
        </w:rPr>
        <w:t xml:space="preserve">) </w:t>
      </w:r>
    </w:p>
    <w:p w14:paraId="3EE0EA96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5943F7A" w14:textId="77777777" w:rsidR="00A63A6E" w:rsidRPr="0070001E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35413FF" w14:textId="77777777" w:rsidR="00A63A6E" w:rsidRPr="005565D2" w:rsidRDefault="00A63A6E" w:rsidP="00A63A6E">
      <w:pPr>
        <w:pStyle w:val="Bezriadkovania"/>
        <w:jc w:val="center"/>
        <w:rPr>
          <w:rFonts w:ascii="Arial" w:hAnsi="Arial" w:cs="Arial"/>
          <w:b/>
        </w:rPr>
      </w:pPr>
      <w:r w:rsidRPr="005565D2">
        <w:rPr>
          <w:rFonts w:ascii="Arial" w:hAnsi="Arial" w:cs="Arial"/>
          <w:b/>
        </w:rPr>
        <w:t>Úvodné ustanovenia</w:t>
      </w:r>
    </w:p>
    <w:p w14:paraId="3B8FEDF6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1BA8C56B" w14:textId="77777777" w:rsidR="00A63A6E" w:rsidRPr="005565D2" w:rsidRDefault="00A63A6E" w:rsidP="00A63A6E">
      <w:pPr>
        <w:spacing w:after="0" w:line="240" w:lineRule="auto"/>
        <w:rPr>
          <w:rFonts w:ascii="Arial" w:hAnsi="Arial" w:cs="Arial"/>
          <w:vanish/>
        </w:rPr>
      </w:pPr>
    </w:p>
    <w:p w14:paraId="34AA658D" w14:textId="77777777" w:rsidR="00A63A6E" w:rsidRPr="005565D2" w:rsidRDefault="00A63A6E" w:rsidP="00A63A6E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Odberateľ v rámci plnenia svojich úloh obstaráva predmet zákazky postupom stanoveným zákonom č. 343/2015 Z. z. o verejnom obstarávaní a o zmene a doplnení niektorých zákonov, v znení neskorších predpisov (ďalej len „zák. č. 343/2015 Z. z.“). </w:t>
      </w:r>
    </w:p>
    <w:p w14:paraId="0806973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7FE4976F" w14:textId="56625153" w:rsidR="00A63A6E" w:rsidRPr="005565D2" w:rsidRDefault="00A63A6E" w:rsidP="00A63A6E">
      <w:pPr>
        <w:pStyle w:val="Bezriadkovania"/>
        <w:jc w:val="both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Túto zmluvu uzatvára Odberateľ ako verejný obstarávateľ s Dodávateľom ako úspešným uchádzačom zákazky pod spis. č. </w:t>
      </w:r>
      <w:r w:rsidR="00D46DA3" w:rsidRPr="00956B34">
        <w:rPr>
          <w:rFonts w:ascii="Arial" w:hAnsi="Arial" w:cs="Arial"/>
          <w:highlight w:val="yellow"/>
        </w:rPr>
        <w:t>......</w:t>
      </w:r>
      <w:r w:rsidRPr="005565D2">
        <w:rPr>
          <w:rFonts w:ascii="Arial" w:hAnsi="Arial" w:cs="Arial"/>
        </w:rPr>
        <w:t xml:space="preserve"> vyhlásenej Odberateľom v zriadenom dynamickom nákupnom systéme s názvom </w:t>
      </w:r>
      <w:r w:rsidRPr="005565D2">
        <w:rPr>
          <w:rFonts w:ascii="Arial" w:hAnsi="Arial" w:cs="Arial"/>
          <w:i/>
        </w:rPr>
        <w:t>„</w:t>
      </w:r>
      <w:r w:rsidR="002923E0" w:rsidRPr="002923E0">
        <w:rPr>
          <w:rFonts w:ascii="Arial" w:hAnsi="Arial" w:cs="Arial"/>
          <w:i/>
        </w:rPr>
        <w:t>DNS na dodávky elektriny a zemného plynu pre roky 2022, 2023, 2024 a 2025</w:t>
      </w:r>
      <w:r w:rsidRPr="005565D2">
        <w:rPr>
          <w:rFonts w:ascii="Arial" w:hAnsi="Arial" w:cs="Arial"/>
          <w:i/>
        </w:rPr>
        <w:t>“</w:t>
      </w:r>
      <w:r w:rsidRPr="005565D2">
        <w:rPr>
          <w:rFonts w:ascii="Arial" w:hAnsi="Arial" w:cs="Arial"/>
        </w:rPr>
        <w:t xml:space="preserve"> vyhláseného oznámením o vyhlásení verejného obstar</w:t>
      </w:r>
      <w:r w:rsidR="002923E0">
        <w:rPr>
          <w:rFonts w:ascii="Arial" w:hAnsi="Arial" w:cs="Arial"/>
        </w:rPr>
        <w:t>ávania uverejnenom v Ú. </w:t>
      </w:r>
      <w:r w:rsidRPr="005565D2">
        <w:rPr>
          <w:rFonts w:ascii="Arial" w:hAnsi="Arial" w:cs="Arial"/>
        </w:rPr>
        <w:t xml:space="preserve">vestníku EU pod číslom </w:t>
      </w:r>
      <w:r w:rsidR="002923E0" w:rsidRPr="002923E0">
        <w:rPr>
          <w:rFonts w:ascii="Arial" w:hAnsi="Arial" w:cs="Arial"/>
        </w:rPr>
        <w:t>2022/S 015-032511</w:t>
      </w:r>
      <w:r w:rsidRPr="005565D2">
        <w:rPr>
          <w:rFonts w:ascii="Arial" w:hAnsi="Arial" w:cs="Arial"/>
        </w:rPr>
        <w:t xml:space="preserve"> dňa </w:t>
      </w:r>
      <w:r w:rsidR="002923E0">
        <w:rPr>
          <w:rFonts w:ascii="Arial" w:hAnsi="Arial" w:cs="Arial"/>
        </w:rPr>
        <w:t>21.1.2022</w:t>
      </w:r>
    </w:p>
    <w:p w14:paraId="7F9277D4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10BFF9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345A3720" w14:textId="77777777" w:rsidR="00A63A6E" w:rsidRPr="005565D2" w:rsidRDefault="00A63A6E" w:rsidP="00A63A6E">
      <w:pPr>
        <w:rPr>
          <w:rFonts w:ascii="Arial" w:hAnsi="Arial" w:cs="Arial"/>
        </w:rPr>
      </w:pPr>
      <w:r w:rsidRPr="005565D2">
        <w:rPr>
          <w:rFonts w:ascii="Arial" w:hAnsi="Arial" w:cs="Arial"/>
        </w:rPr>
        <w:br w:type="page"/>
      </w:r>
    </w:p>
    <w:p w14:paraId="0401A198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lastRenderedPageBreak/>
        <w:t>Článok</w:t>
      </w:r>
    </w:p>
    <w:p w14:paraId="4DA0E4F6" w14:textId="77777777" w:rsidR="00A63A6E" w:rsidRPr="005565D2" w:rsidRDefault="00A63A6E" w:rsidP="00A63A6E">
      <w:pPr>
        <w:pStyle w:val="Default"/>
        <w:spacing w:after="481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Predmet zmluvy</w:t>
      </w:r>
    </w:p>
    <w:p w14:paraId="307C99AB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záväzok Dodávateľa po dobu účinnosti tejto zmluvy: </w:t>
      </w:r>
    </w:p>
    <w:p w14:paraId="372008F7" w14:textId="77777777" w:rsidR="00A63A6E" w:rsidRPr="005565D2" w:rsidRDefault="00A63A6E" w:rsidP="00A63A6E">
      <w:pPr>
        <w:pStyle w:val="Default"/>
        <w:numPr>
          <w:ilvl w:val="0"/>
          <w:numId w:val="5"/>
        </w:numPr>
        <w:spacing w:before="240"/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dodávať zemný plyn do odberných miest Odberateľa definovaných v prílohe č. 1 k zmluve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odberné miesta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“) v kategóriách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stredoodber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SO</w:t>
      </w:r>
      <w:r w:rsidRPr="005565D2">
        <w:rPr>
          <w:rFonts w:ascii="Arial" w:hAnsi="Arial" w:cs="Arial"/>
          <w:color w:val="auto"/>
          <w:sz w:val="22"/>
          <w:szCs w:val="22"/>
        </w:rPr>
        <w:t>“) a 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maloodber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MO</w:t>
      </w:r>
      <w:r w:rsidRPr="005565D2">
        <w:rPr>
          <w:rFonts w:ascii="Arial" w:hAnsi="Arial" w:cs="Arial"/>
          <w:color w:val="auto"/>
          <w:sz w:val="22"/>
          <w:szCs w:val="22"/>
        </w:rPr>
        <w:t>“) za podmienok dohodnutých v tejto zmluve,</w:t>
      </w:r>
    </w:p>
    <w:p w14:paraId="6304CF62" w14:textId="77777777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prevziať za Odberateľa zodpovednosť za odchýlku za odberné miesta voči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zúčtovateľovi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odchýlok, </w:t>
      </w:r>
    </w:p>
    <w:p w14:paraId="4A94D2C5" w14:textId="77777777" w:rsidR="00A63A6E" w:rsidRPr="005565D2" w:rsidRDefault="00A63A6E" w:rsidP="00A63A6E">
      <w:pPr>
        <w:pStyle w:val="Default"/>
        <w:numPr>
          <w:ilvl w:val="0"/>
          <w:numId w:val="5"/>
        </w:numPr>
        <w:ind w:left="862" w:hanging="431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zabezpečiť pre Odberateľa distribúciu zemného plynu, prepravné služby a súvisiace systémové služby do odberných miest (ďalej len „</w:t>
      </w:r>
      <w:r w:rsidRPr="005565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distribučné služby</w:t>
      </w:r>
      <w:r w:rsidRPr="005565D2">
        <w:rPr>
          <w:rFonts w:ascii="Arial" w:hAnsi="Arial" w:cs="Arial"/>
          <w:color w:val="auto"/>
          <w:sz w:val="22"/>
          <w:szCs w:val="22"/>
        </w:rPr>
        <w:t>“).</w:t>
      </w:r>
    </w:p>
    <w:p w14:paraId="4A66A62F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F023203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Predmetom tejto zmluvy je tiež záväzok Odberateľa dodávku plynu odobrať a za túto dodávku a s tým spojené služby definované v bode 1.1. zaplatiť cenu špecifikovanú v článku 4. tejto zmluvy. </w:t>
      </w:r>
    </w:p>
    <w:p w14:paraId="72458E3B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716E51E9" w14:textId="77777777" w:rsidR="00A63A6E" w:rsidRPr="005565D2" w:rsidRDefault="00A63A6E" w:rsidP="00A63A6E">
      <w:pPr>
        <w:pStyle w:val="Default"/>
        <w:ind w:left="1224"/>
        <w:rPr>
          <w:rFonts w:ascii="Arial" w:hAnsi="Arial" w:cs="Arial"/>
          <w:color w:val="auto"/>
          <w:sz w:val="22"/>
          <w:szCs w:val="22"/>
        </w:rPr>
      </w:pPr>
    </w:p>
    <w:p w14:paraId="304947D0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0654CD42" w14:textId="77777777" w:rsidR="00A63A6E" w:rsidRPr="005565D2" w:rsidRDefault="00A63A6E" w:rsidP="00A63A6E">
      <w:pPr>
        <w:pStyle w:val="Default"/>
        <w:spacing w:after="481"/>
        <w:ind w:left="36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Dodávka zemného plynu</w:t>
      </w:r>
    </w:p>
    <w:p w14:paraId="7E531685" w14:textId="72F7BBC1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Dňom začiatku dodávky zemného plynu a poskytovania služieb podľa tejto zmluvy je 1. deň kalendárneho mesiaca nasledujúceho po účinnosti tejto zmluvy, najskôr však </w:t>
      </w:r>
      <w:r w:rsidR="006F13AD">
        <w:rPr>
          <w:rFonts w:ascii="Arial" w:hAnsi="Arial" w:cs="Arial"/>
          <w:color w:val="auto"/>
          <w:sz w:val="22"/>
          <w:szCs w:val="22"/>
        </w:rPr>
        <w:t>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o 00:00 hodine. Zmluva je účinná </w:t>
      </w:r>
      <w:r w:rsidR="006F13AD">
        <w:rPr>
          <w:rFonts w:ascii="Arial" w:hAnsi="Arial" w:cs="Arial"/>
          <w:color w:val="auto"/>
          <w:sz w:val="22"/>
          <w:szCs w:val="22"/>
        </w:rPr>
        <w:t>..............</w:t>
      </w:r>
      <w:r w:rsidRPr="00D46DA3">
        <w:rPr>
          <w:rFonts w:ascii="Arial" w:hAnsi="Arial" w:cs="Arial"/>
          <w:color w:val="auto"/>
          <w:sz w:val="22"/>
          <w:szCs w:val="22"/>
        </w:rPr>
        <w:t xml:space="preserve"> </w:t>
      </w:r>
      <w:r w:rsidRPr="005565D2">
        <w:rPr>
          <w:rFonts w:ascii="Arial" w:hAnsi="Arial" w:cs="Arial"/>
          <w:color w:val="auto"/>
          <w:sz w:val="22"/>
          <w:szCs w:val="22"/>
        </w:rPr>
        <w:t>od</w:t>
      </w:r>
      <w:r>
        <w:rPr>
          <w:rFonts w:ascii="Arial" w:hAnsi="Arial" w:cs="Arial"/>
          <w:color w:val="auto"/>
          <w:sz w:val="22"/>
          <w:szCs w:val="22"/>
        </w:rPr>
        <w:t>o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dňa začiatku dodávky podľa predchádzajúcej vety.</w:t>
      </w:r>
    </w:p>
    <w:p w14:paraId="5493D956" w14:textId="71B68698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 na dodávke zemného plynu v predpokladanom množstve odvodenom od spotreby Odberateľa v odberných miestach za rovnaké obdobie roku </w:t>
      </w:r>
      <w:r w:rsidR="006F13AD">
        <w:rPr>
          <w:rFonts w:ascii="Arial" w:hAnsi="Arial" w:cs="Arial"/>
          <w:color w:val="auto"/>
          <w:sz w:val="22"/>
          <w:szCs w:val="22"/>
        </w:rPr>
        <w:t>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, a to </w:t>
      </w:r>
      <w:r w:rsidR="006F13AD">
        <w:rPr>
          <w:rFonts w:ascii="Arial" w:hAnsi="Arial" w:cs="Arial"/>
          <w:color w:val="auto"/>
          <w:sz w:val="22"/>
          <w:szCs w:val="22"/>
        </w:rPr>
        <w:t>.....................</w:t>
      </w:r>
      <w:r w:rsidR="00956B34" w:rsidRPr="00956B34">
        <w:rPr>
          <w:rFonts w:ascii="Arial" w:hAnsi="Arial" w:cs="Arial"/>
          <w:color w:val="auto"/>
          <w:sz w:val="22"/>
          <w:szCs w:val="22"/>
        </w:rPr>
        <w:t xml:space="preserve"> MWh</w:t>
      </w:r>
      <w:r w:rsidRPr="005565D2">
        <w:rPr>
          <w:rFonts w:ascii="Arial" w:hAnsi="Arial" w:cs="Arial"/>
          <w:color w:val="auto"/>
          <w:sz w:val="22"/>
          <w:szCs w:val="22"/>
        </w:rPr>
        <w:t>.</w:t>
      </w:r>
    </w:p>
    <w:p w14:paraId="47059D2C" w14:textId="77777777" w:rsidR="00A63A6E" w:rsidRPr="00956B34" w:rsidRDefault="00A63A6E" w:rsidP="00A63A6E">
      <w:pPr>
        <w:pStyle w:val="Default"/>
        <w:numPr>
          <w:ilvl w:val="1"/>
          <w:numId w:val="1"/>
        </w:numPr>
        <w:spacing w:after="240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56B34">
        <w:rPr>
          <w:rFonts w:ascii="Arial" w:hAnsi="Arial" w:cs="Arial"/>
          <w:sz w:val="22"/>
          <w:szCs w:val="22"/>
        </w:rPr>
        <w:t>Za zemný plyn dodaný podľa tejto zmluvy je považovaný zemný plyn, ktorý prešiel meradlom v odbernom mieste Odberateľa, v množstve, ktoré Dodávateľovi poskytol prevádzkovateľ distribučnej sústavy (ďalej len „</w:t>
      </w:r>
      <w:r w:rsidRPr="00956B34">
        <w:rPr>
          <w:rFonts w:ascii="Arial" w:hAnsi="Arial" w:cs="Arial"/>
          <w:b/>
          <w:bCs/>
          <w:i/>
          <w:iCs/>
          <w:sz w:val="22"/>
          <w:szCs w:val="22"/>
        </w:rPr>
        <w:t>PDS</w:t>
      </w:r>
      <w:r w:rsidRPr="00956B34">
        <w:rPr>
          <w:rFonts w:ascii="Arial" w:hAnsi="Arial" w:cs="Arial"/>
          <w:sz w:val="22"/>
          <w:szCs w:val="22"/>
        </w:rPr>
        <w:t xml:space="preserve">“). </w:t>
      </w:r>
    </w:p>
    <w:p w14:paraId="3D6B6E29" w14:textId="77777777" w:rsidR="00A63A6E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5D6DF82E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ED6DC0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Zodpovednosť za odchýlky</w:t>
      </w:r>
    </w:p>
    <w:p w14:paraId="73C38773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F304C9A" w14:textId="2C5CF5A2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má uzatvorenú zmluvu o zúčtovaní odchýlok so </w:t>
      </w:r>
      <w:proofErr w:type="spellStart"/>
      <w:r w:rsidRPr="00956B34">
        <w:rPr>
          <w:rFonts w:ascii="Arial" w:hAnsi="Arial" w:cs="Arial"/>
          <w:color w:val="auto"/>
          <w:sz w:val="22"/>
          <w:szCs w:val="22"/>
        </w:rPr>
        <w:t>zúčtovateľom</w:t>
      </w:r>
      <w:proofErr w:type="spellEnd"/>
      <w:r w:rsidRPr="00956B34">
        <w:rPr>
          <w:rFonts w:ascii="Arial" w:hAnsi="Arial" w:cs="Arial"/>
          <w:color w:val="auto"/>
          <w:sz w:val="22"/>
          <w:szCs w:val="22"/>
        </w:rPr>
        <w:t xml:space="preserve"> odchýlok: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AF7734E" w14:textId="77777777" w:rsidR="00A63A6E" w:rsidRPr="005565D2" w:rsidRDefault="00A63A6E" w:rsidP="00A63A6E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</w:t>
      </w:r>
    </w:p>
    <w:p w14:paraId="320F5C7E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Dodávateľ vyhlasuje, že preberá zodpovednosť za odchýlku Odberateľa v plnom rozsahu. </w:t>
      </w:r>
    </w:p>
    <w:p w14:paraId="1A8C1BE1" w14:textId="77777777" w:rsidR="00A63A6E" w:rsidRPr="00DE36C5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0C1658A3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50532D25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Cena</w:t>
      </w:r>
    </w:p>
    <w:p w14:paraId="21F7CCAB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b/>
          <w:color w:val="auto"/>
          <w:sz w:val="22"/>
          <w:szCs w:val="22"/>
        </w:rPr>
      </w:pPr>
    </w:p>
    <w:p w14:paraId="3A738900" w14:textId="77777777" w:rsidR="00A63A6E" w:rsidRPr="005565D2" w:rsidRDefault="00A63A6E" w:rsidP="00A63A6E">
      <w:pPr>
        <w:pStyle w:val="Default"/>
        <w:numPr>
          <w:ilvl w:val="1"/>
          <w:numId w:val="1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sa dohodli na cene zemného plynu podľa tejto zmluvy počas účinnosti zmluvy podľa článku 2 bod 2.1. nasledovne:</w:t>
      </w:r>
    </w:p>
    <w:p w14:paraId="7D5B8669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3B4059F0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SO</w:t>
      </w:r>
    </w:p>
    <w:p w14:paraId="2EC72654" w14:textId="06788E18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... </w:t>
      </w:r>
      <w:r w:rsidRPr="005565D2">
        <w:rPr>
          <w:rFonts w:ascii="Arial" w:hAnsi="Arial" w:cs="Arial"/>
        </w:rPr>
        <w:t>EUR/ MWh bez DPH</w:t>
      </w:r>
    </w:p>
    <w:p w14:paraId="29162BB3" w14:textId="59EFE39E" w:rsidR="00A63A6E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Spotrebná daň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</w:t>
      </w:r>
      <w:r w:rsidR="0054286C" w:rsidRPr="0054286C">
        <w:rPr>
          <w:rFonts w:ascii="Arial" w:hAnsi="Arial" w:cs="Arial"/>
          <w:highlight w:val="yellow"/>
        </w:rPr>
        <w:t>.....</w:t>
      </w:r>
      <w:r w:rsidRPr="0054286C">
        <w:rPr>
          <w:rFonts w:ascii="Arial" w:hAnsi="Arial" w:cs="Arial"/>
          <w:highlight w:val="yellow"/>
        </w:rPr>
        <w:t xml:space="preserve">.. </w:t>
      </w:r>
      <w:r w:rsidRPr="005565D2">
        <w:rPr>
          <w:rFonts w:ascii="Arial" w:hAnsi="Arial" w:cs="Arial"/>
        </w:rPr>
        <w:t>EUR/ MWh bez DPH</w:t>
      </w:r>
    </w:p>
    <w:p w14:paraId="385926C1" w14:textId="1E43EA86" w:rsidR="006F13AD" w:rsidRPr="005565D2" w:rsidRDefault="006F13AD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>
        <w:rPr>
          <w:rFonts w:ascii="Arial" w:hAnsi="Arial" w:cs="Arial"/>
        </w:rPr>
        <w:t>Fixná mesačná sadzba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52973AEF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</w:rPr>
      </w:pPr>
    </w:p>
    <w:p w14:paraId="0EBCB28D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781A88E3" w14:textId="1A22EC64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Sadzba za odobratý plyn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54286C" w:rsidRPr="006F13AD">
        <w:rPr>
          <w:rFonts w:ascii="Arial" w:hAnsi="Arial" w:cs="Arial"/>
          <w:highlight w:val="yellow"/>
        </w:rPr>
        <w:t>....</w:t>
      </w:r>
      <w:r w:rsidRPr="006F13AD">
        <w:rPr>
          <w:rFonts w:ascii="Arial" w:hAnsi="Arial" w:cs="Arial"/>
          <w:highlight w:val="yellow"/>
        </w:rPr>
        <w:t>...</w:t>
      </w:r>
      <w:r w:rsidRPr="005565D2">
        <w:rPr>
          <w:rFonts w:ascii="Arial" w:hAnsi="Arial" w:cs="Arial"/>
        </w:rPr>
        <w:t xml:space="preserve"> EUR/ MWh bez DPH</w:t>
      </w:r>
    </w:p>
    <w:p w14:paraId="2D02591D" w14:textId="48D36BF4" w:rsidR="00A63A6E" w:rsidRPr="005565D2" w:rsidRDefault="00A63A6E" w:rsidP="00A63A6E">
      <w:pPr>
        <w:pStyle w:val="Bezriadkovania"/>
        <w:numPr>
          <w:ilvl w:val="0"/>
          <w:numId w:val="7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Fixná mesačná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4286C">
        <w:rPr>
          <w:rFonts w:ascii="Arial" w:hAnsi="Arial" w:cs="Arial"/>
          <w:highlight w:val="yellow"/>
        </w:rPr>
        <w:t>..</w:t>
      </w:r>
      <w:r w:rsidR="0054286C" w:rsidRPr="0054286C">
        <w:rPr>
          <w:rFonts w:ascii="Arial" w:hAnsi="Arial" w:cs="Arial"/>
          <w:highlight w:val="yellow"/>
        </w:rPr>
        <w:t>...</w:t>
      </w:r>
      <w:r w:rsidRPr="0054286C">
        <w:rPr>
          <w:rFonts w:ascii="Arial" w:hAnsi="Arial" w:cs="Arial"/>
          <w:highlight w:val="yellow"/>
        </w:rPr>
        <w:t>.</w:t>
      </w:r>
      <w:r w:rsidRPr="005565D2">
        <w:rPr>
          <w:rFonts w:ascii="Arial" w:hAnsi="Arial" w:cs="Arial"/>
        </w:rPr>
        <w:t xml:space="preserve"> EUR/ mes. bez DPH</w:t>
      </w:r>
    </w:p>
    <w:p w14:paraId="4E216FB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73C6E869" w14:textId="77777777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Súčasťou faktúry za dodávku zemného plynu bude aj fakturácia za distribučné služby v cenách PDS, schválených pre obdobie dodávky Úradom pre reguláciu sieťových odvetví:</w:t>
      </w:r>
    </w:p>
    <w:p w14:paraId="30CF01CD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SO</w:t>
      </w:r>
    </w:p>
    <w:p w14:paraId="1084E07B" w14:textId="2E88DA7E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–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="006F13AD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54A47B57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– fixná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mes. bez DPH</w:t>
      </w:r>
    </w:p>
    <w:p w14:paraId="451C9C56" w14:textId="4C1BF895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Distribúcia – </w:t>
      </w:r>
      <w:r w:rsidR="006F13AD">
        <w:rPr>
          <w:rFonts w:ascii="Arial" w:hAnsi="Arial" w:cs="Arial"/>
        </w:rPr>
        <w:t xml:space="preserve">Výkonová sadzba do 1 mil. DMM </w:t>
      </w:r>
      <w:r w:rsidRPr="005565D2">
        <w:rPr>
          <w:rFonts w:ascii="Arial" w:hAnsi="Arial" w:cs="Arial"/>
        </w:rPr>
        <w:tab/>
        <w:t>... EUR/ mes. bez DPH</w:t>
      </w:r>
    </w:p>
    <w:p w14:paraId="0ABE4BF4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</w:rPr>
      </w:pPr>
    </w:p>
    <w:p w14:paraId="417482AB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Preprava –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2DC5A859" w14:textId="1F28331B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Preprava – </w:t>
      </w:r>
      <w:r w:rsidR="006F13AD">
        <w:rPr>
          <w:rFonts w:ascii="Arial" w:hAnsi="Arial" w:cs="Arial"/>
        </w:rPr>
        <w:t>fixná sadzba</w:t>
      </w:r>
      <w:r w:rsidR="006F13AD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mes. bez DPH</w:t>
      </w:r>
    </w:p>
    <w:p w14:paraId="12D82A16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</w:rPr>
      </w:pPr>
    </w:p>
    <w:p w14:paraId="09D359F9" w14:textId="77777777" w:rsidR="00A63A6E" w:rsidRPr="005565D2" w:rsidRDefault="00A63A6E" w:rsidP="00A63A6E">
      <w:pPr>
        <w:pStyle w:val="Bezriadkovania"/>
        <w:ind w:left="1134" w:hanging="709"/>
        <w:rPr>
          <w:rFonts w:ascii="Arial" w:hAnsi="Arial" w:cs="Arial"/>
          <w:b/>
          <w:bCs/>
        </w:rPr>
      </w:pPr>
      <w:r w:rsidRPr="005565D2">
        <w:rPr>
          <w:rFonts w:ascii="Arial" w:hAnsi="Arial" w:cs="Arial"/>
          <w:b/>
          <w:bCs/>
        </w:rPr>
        <w:t>MO</w:t>
      </w:r>
    </w:p>
    <w:p w14:paraId="0C2F5FFB" w14:textId="744C094C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Distribúcia plynu</w:t>
      </w:r>
      <w:r w:rsidRPr="005565D2">
        <w:rPr>
          <w:rFonts w:ascii="Arial" w:hAnsi="Arial" w:cs="Arial"/>
        </w:rPr>
        <w:tab/>
      </w:r>
      <w:r w:rsidR="00C62DE7">
        <w:rPr>
          <w:rFonts w:ascii="Arial" w:hAnsi="Arial" w:cs="Arial"/>
        </w:rPr>
        <w:t>- variabilná sadzba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240D9BA0" w14:textId="56CA162B" w:rsidR="00C62DE7" w:rsidRDefault="00C62DE7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Distribúcia plynu – fixná sadzba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62DE7">
        <w:rPr>
          <w:rFonts w:ascii="Arial" w:hAnsi="Arial" w:cs="Arial"/>
        </w:rPr>
        <w:t xml:space="preserve">........ </w:t>
      </w:r>
      <w:r w:rsidRPr="005565D2">
        <w:rPr>
          <w:rFonts w:ascii="Arial" w:hAnsi="Arial" w:cs="Arial"/>
        </w:rPr>
        <w:t>EUR/ MWh bez DPH</w:t>
      </w:r>
    </w:p>
    <w:p w14:paraId="1081CE58" w14:textId="77777777" w:rsidR="00A63A6E" w:rsidRPr="005565D2" w:rsidRDefault="00A63A6E" w:rsidP="00A63A6E">
      <w:pPr>
        <w:pStyle w:val="Bezriadkovania"/>
        <w:numPr>
          <w:ilvl w:val="0"/>
          <w:numId w:val="8"/>
        </w:numPr>
        <w:ind w:left="1134" w:hanging="709"/>
        <w:rPr>
          <w:rFonts w:ascii="Arial" w:hAnsi="Arial" w:cs="Arial"/>
        </w:rPr>
      </w:pPr>
      <w:r w:rsidRPr="005565D2">
        <w:rPr>
          <w:rFonts w:ascii="Arial" w:hAnsi="Arial" w:cs="Arial"/>
        </w:rPr>
        <w:t>Preprava plynu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... EUR/ MWh bez DPH</w:t>
      </w:r>
    </w:p>
    <w:p w14:paraId="5ED5B53F" w14:textId="77777777" w:rsidR="00A63A6E" w:rsidRPr="005565D2" w:rsidRDefault="00A63A6E" w:rsidP="00A63A6E">
      <w:pPr>
        <w:pStyle w:val="Default"/>
        <w:spacing w:after="240"/>
        <w:rPr>
          <w:rFonts w:ascii="Arial" w:hAnsi="Arial" w:cs="Arial"/>
          <w:color w:val="auto"/>
          <w:sz w:val="22"/>
          <w:szCs w:val="22"/>
        </w:rPr>
      </w:pPr>
    </w:p>
    <w:p w14:paraId="47972354" w14:textId="7ADB72A8" w:rsidR="00A63A6E" w:rsidRPr="005565D2" w:rsidRDefault="00A63A6E" w:rsidP="00A63A6E">
      <w:pPr>
        <w:pStyle w:val="Default"/>
        <w:numPr>
          <w:ilvl w:val="1"/>
          <w:numId w:val="1"/>
        </w:numPr>
        <w:spacing w:after="133"/>
        <w:ind w:left="426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Cena celkom (bod 4.1. + 4.2.) </w:t>
      </w:r>
      <w:r w:rsidRPr="0054286C">
        <w:rPr>
          <w:rFonts w:ascii="Arial" w:hAnsi="Arial" w:cs="Arial"/>
          <w:color w:val="auto"/>
          <w:sz w:val="22"/>
          <w:szCs w:val="22"/>
        </w:rPr>
        <w:t xml:space="preserve">za </w:t>
      </w:r>
      <w:r w:rsidR="00C62DE7">
        <w:rPr>
          <w:rFonts w:ascii="Arial" w:hAnsi="Arial" w:cs="Arial"/>
          <w:color w:val="auto"/>
          <w:sz w:val="22"/>
          <w:szCs w:val="22"/>
        </w:rPr>
        <w:t>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zemného plynu je: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bez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20% sadzba DPH,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 xml:space="preserve">.............................. 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EUR s DPH, slovom ( </w:t>
      </w:r>
      <w:r w:rsidRPr="005565D2">
        <w:rPr>
          <w:rFonts w:ascii="Arial" w:hAnsi="Arial" w:cs="Arial"/>
          <w:color w:val="auto"/>
          <w:sz w:val="22"/>
          <w:szCs w:val="22"/>
          <w:highlight w:val="yellow"/>
        </w:rPr>
        <w:t>..........................................................................................................</w:t>
      </w:r>
      <w:r w:rsidRPr="005565D2">
        <w:rPr>
          <w:rFonts w:ascii="Arial" w:hAnsi="Arial" w:cs="Arial"/>
          <w:color w:val="auto"/>
          <w:sz w:val="22"/>
          <w:szCs w:val="22"/>
        </w:rPr>
        <w:t xml:space="preserve"> EUR s DPH)</w:t>
      </w:r>
    </w:p>
    <w:p w14:paraId="0C332782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217F5F79" w14:textId="77777777" w:rsidR="00A63A6E" w:rsidRPr="005565D2" w:rsidRDefault="00A63A6E" w:rsidP="00A63A6E">
      <w:pPr>
        <w:pStyle w:val="Default"/>
        <w:numPr>
          <w:ilvl w:val="0"/>
          <w:numId w:val="1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E7E761B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Platobné podmienky a postúpenie pohľadávky</w:t>
      </w:r>
    </w:p>
    <w:p w14:paraId="4485B8C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590EBBBA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544BE1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593C507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79E6D6B7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27C81841" w14:textId="77777777" w:rsidR="00A63A6E" w:rsidRPr="005565D2" w:rsidRDefault="00A63A6E" w:rsidP="00A63A6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</w:rPr>
      </w:pPr>
    </w:p>
    <w:p w14:paraId="42572D23" w14:textId="01A41A06" w:rsidR="00A63A6E" w:rsidRPr="009D4CDA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D4CDA">
        <w:rPr>
          <w:rFonts w:ascii="Arial" w:hAnsi="Arial" w:cs="Arial"/>
          <w:color w:val="auto"/>
          <w:sz w:val="22"/>
          <w:szCs w:val="22"/>
        </w:rPr>
        <w:t xml:space="preserve">Úhrada za odobratý zemný plyn a s tým spojené služby sa uskutoční formou bezhotovostného platobného styku s mesačnou zálohovou platbou pre jednotlivé odberné miesta Odberateľa na základe splátkového kalendára vypracovaného Dodávateľom, ktorý je prílohou č. 3 tejto zmluvy. Vyúčtovanie skutočnej spotreby zemného plynu pre OM č. 1 a 2 (SO), bude raz mesačne na základe odpočtu stavu plynomerov v jednotlivých odberných miestach, najneskôr do 5 pracovných dní od skončenia príslušného mesiaca. Vyúčtovanie skutočnej spotreby zemného plynu pre OM č. 3 (MO), </w:t>
      </w:r>
      <w:r w:rsidRPr="0054286C">
        <w:rPr>
          <w:rFonts w:ascii="Arial" w:hAnsi="Arial" w:cs="Arial"/>
          <w:color w:val="auto"/>
          <w:sz w:val="22"/>
          <w:szCs w:val="22"/>
        </w:rPr>
        <w:t xml:space="preserve">bude </w:t>
      </w:r>
      <w:r w:rsidR="0054286C" w:rsidRPr="0054286C">
        <w:rPr>
          <w:rFonts w:ascii="Arial" w:hAnsi="Arial" w:cs="Arial"/>
          <w:color w:val="auto"/>
          <w:sz w:val="22"/>
          <w:szCs w:val="22"/>
        </w:rPr>
        <w:t xml:space="preserve">raz ročne </w:t>
      </w:r>
      <w:r w:rsidRPr="009D4CDA">
        <w:rPr>
          <w:rFonts w:ascii="Arial" w:hAnsi="Arial" w:cs="Arial"/>
          <w:color w:val="auto"/>
          <w:sz w:val="22"/>
          <w:szCs w:val="22"/>
        </w:rPr>
        <w:t xml:space="preserve">na základe odpočtu stavu plynomerov v tomto odbernom mieste, najneskôr do 5 pracovných dní od skončenia uplynutia obdobia, za ktoré má byť vyúčtovanie zrealizované.  </w:t>
      </w:r>
    </w:p>
    <w:p w14:paraId="256B620C" w14:textId="77777777" w:rsidR="00A63A6E" w:rsidRPr="00D200C9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Po </w:t>
      </w:r>
      <w:r>
        <w:rPr>
          <w:rFonts w:ascii="Arial" w:hAnsi="Arial" w:cs="Arial"/>
          <w:color w:val="auto"/>
          <w:sz w:val="22"/>
          <w:szCs w:val="22"/>
        </w:rPr>
        <w:t xml:space="preserve">každom </w:t>
      </w:r>
      <w:r w:rsidRPr="005565D2">
        <w:rPr>
          <w:rFonts w:ascii="Arial" w:hAnsi="Arial" w:cs="Arial"/>
          <w:color w:val="auto"/>
          <w:sz w:val="22"/>
          <w:szCs w:val="22"/>
        </w:rPr>
        <w:t>vyúčtovaní skutočnej spotreby zemného plynu pre jednotlivé odberné miesta vystaví Dodávateľ faktúru, ktorá bude obsahovať množstvo skutočného mesačného odberu, distribučné poplatky, spotrebnú daň a DPH.</w:t>
      </w:r>
      <w:r w:rsidRPr="00407554">
        <w:rPr>
          <w:rFonts w:ascii="Arial" w:hAnsi="Arial" w:cs="Arial"/>
          <w:color w:val="auto"/>
          <w:sz w:val="22"/>
          <w:szCs w:val="22"/>
        </w:rPr>
        <w:t xml:space="preserve"> </w:t>
      </w:r>
      <w:r w:rsidRPr="00D200C9">
        <w:rPr>
          <w:rFonts w:ascii="Arial" w:hAnsi="Arial" w:cs="Arial"/>
          <w:color w:val="auto"/>
          <w:sz w:val="22"/>
          <w:szCs w:val="22"/>
        </w:rPr>
        <w:t>Splatnosť faktúry je 30 dní</w:t>
      </w:r>
      <w:r>
        <w:rPr>
          <w:rFonts w:ascii="Arial" w:hAnsi="Arial" w:cs="Arial"/>
          <w:color w:val="auto"/>
          <w:sz w:val="22"/>
          <w:szCs w:val="22"/>
        </w:rPr>
        <w:t xml:space="preserve"> odo dňa doručenia Odberateľovi</w:t>
      </w:r>
      <w:r w:rsidRPr="00D200C9">
        <w:rPr>
          <w:rFonts w:ascii="Arial" w:hAnsi="Arial" w:cs="Arial"/>
          <w:color w:val="auto"/>
          <w:sz w:val="22"/>
          <w:szCs w:val="22"/>
        </w:rPr>
        <w:t>.</w:t>
      </w:r>
    </w:p>
    <w:p w14:paraId="239D2108" w14:textId="77777777" w:rsidR="00A63A6E" w:rsidRPr="009D4CDA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9D4CDA">
        <w:rPr>
          <w:rFonts w:ascii="Arial" w:hAnsi="Arial" w:cs="Arial"/>
          <w:sz w:val="22"/>
          <w:szCs w:val="22"/>
        </w:rPr>
        <w:t>Faktúra musí obsahovať všetky údaje, ktoré vyžaduje platná právna úprava Slovenskej republiky a EÚ. Údaje na faktúre musia byť v súlade s údajmi uvedenými v uzatvorenej zmluve. V prípade, že faktúra nebude obsahovať predpísané náležitosti, Odberateľ je oprávnený vrátiť ju Dodávateľovi na doplnenie. V takom prípade sa preruší plynutie lehoty splatnosti a nová lehota splatnosti začne plynúť dňom doručenia opravenej faktúry kupujúcemu.</w:t>
      </w:r>
    </w:p>
    <w:p w14:paraId="5E08EBF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Dodávateľ je oprávnený v prípade omeškania s úhradou faktúry zo strany Odberateľa uplatniť si príslušný úrok z omeškania v zmysle platných právnych predpisov.</w:t>
      </w:r>
    </w:p>
    <w:p w14:paraId="17528967" w14:textId="77777777" w:rsidR="00A63A6E" w:rsidRPr="005565D2" w:rsidRDefault="00A63A6E" w:rsidP="00A63A6E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46E003F" w14:textId="77777777" w:rsidR="00A63A6E" w:rsidRPr="005565D2" w:rsidRDefault="00A63A6E" w:rsidP="00A63A6E">
      <w:pPr>
        <w:pStyle w:val="Default"/>
        <w:ind w:left="360"/>
        <w:rPr>
          <w:rFonts w:ascii="Arial" w:hAnsi="Arial" w:cs="Arial"/>
          <w:color w:val="auto"/>
          <w:sz w:val="22"/>
          <w:szCs w:val="22"/>
        </w:rPr>
      </w:pPr>
    </w:p>
    <w:p w14:paraId="1B0C43D6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40931F24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Trvanie zmluvy</w:t>
      </w:r>
    </w:p>
    <w:p w14:paraId="671E7CF8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17AD2E95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Zmluva je uzatvorená na dobu určitú v zmysle čl. 2., bod 2.1 zmluvy.</w:t>
      </w:r>
    </w:p>
    <w:p w14:paraId="69E0C099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Každá zo zmluvných strán je oprávnená od zmluvy odstúpiť, ak:</w:t>
      </w:r>
    </w:p>
    <w:p w14:paraId="6E49AFCE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a)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dôjde k porušeniu ustanovení tejto zmluvy, </w:t>
      </w:r>
    </w:p>
    <w:p w14:paraId="1BEA6634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b)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podaný návrh na vyhlásenie konkurzu voči zmluvnej strane, </w:t>
      </w:r>
    </w:p>
    <w:p w14:paraId="0A5F8FD1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c) </w:t>
      </w:r>
      <w:r w:rsidRPr="005565D2">
        <w:rPr>
          <w:rFonts w:ascii="Arial" w:hAnsi="Arial" w:cs="Arial"/>
          <w:color w:val="auto"/>
          <w:sz w:val="22"/>
          <w:szCs w:val="22"/>
        </w:rPr>
        <w:tab/>
        <w:t xml:space="preserve">bol na majetok druhej zmluvnej strany vyhlásený konkurz, alebo bol návrh na vyhlásenie konkurzu zamietnutý pre nedostatok majetku, </w:t>
      </w:r>
    </w:p>
    <w:p w14:paraId="0F1CFDE0" w14:textId="77777777" w:rsidR="00A63A6E" w:rsidRPr="005565D2" w:rsidRDefault="00A63A6E" w:rsidP="00A63A6E">
      <w:pPr>
        <w:pStyle w:val="Default"/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d)</w:t>
      </w:r>
      <w:r w:rsidRPr="005565D2">
        <w:rPr>
          <w:rFonts w:ascii="Arial" w:hAnsi="Arial" w:cs="Arial"/>
          <w:color w:val="auto"/>
          <w:sz w:val="22"/>
          <w:szCs w:val="22"/>
        </w:rPr>
        <w:tab/>
        <w:t>druhá zmluvná strana vstúpila do likvidácie.</w:t>
      </w:r>
    </w:p>
    <w:p w14:paraId="66442FA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Odberateľ je oprávnený od zmluvy odstúpiť, ak:</w:t>
      </w:r>
    </w:p>
    <w:p w14:paraId="60E4D2C3" w14:textId="77777777" w:rsidR="00A63A6E" w:rsidRPr="005565D2" w:rsidRDefault="00A63A6E" w:rsidP="00A63A6E">
      <w:pPr>
        <w:pStyle w:val="Default"/>
        <w:numPr>
          <w:ilvl w:val="0"/>
          <w:numId w:val="4"/>
        </w:numPr>
        <w:ind w:left="850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nastali skutočnosti podľa § 19 zákona 343/2015 Z. z. Zákon o verejnom obstarávaní a o zmene a doplnení niektorých zákonov.</w:t>
      </w:r>
    </w:p>
    <w:p w14:paraId="45766C6A" w14:textId="77777777" w:rsidR="00A63A6E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Odstúpenie je účinné dňom doručenia písomného oznámenia o odstúpení od zmluvy druhej zmluvnej strane. </w:t>
      </w:r>
    </w:p>
    <w:p w14:paraId="6B29F5B9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Túto zmluvu možno ukončiť písomnou dohodou zmluvných strán alebo písomnou výpoveďou jednou zo zmluvných strán bez uvedenia dôvodu. Výpovedná lehota sú tri mesiace a začína plynúť prvým dňom nasledujúceho mesiaca po doručení výpovede druhej strane.</w:t>
      </w:r>
    </w:p>
    <w:p w14:paraId="43C4A488" w14:textId="77777777" w:rsidR="00A63A6E" w:rsidRPr="005565D2" w:rsidRDefault="00A63A6E" w:rsidP="00A63A6E">
      <w:pPr>
        <w:pStyle w:val="Default"/>
        <w:ind w:left="426"/>
        <w:rPr>
          <w:rFonts w:ascii="Arial" w:hAnsi="Arial" w:cs="Arial"/>
          <w:color w:val="auto"/>
          <w:sz w:val="22"/>
          <w:szCs w:val="22"/>
        </w:rPr>
      </w:pPr>
    </w:p>
    <w:p w14:paraId="69E8C5A7" w14:textId="77777777" w:rsidR="00A63A6E" w:rsidRPr="005565D2" w:rsidRDefault="00A63A6E" w:rsidP="00A63A6E">
      <w:pPr>
        <w:pStyle w:val="Default"/>
        <w:numPr>
          <w:ilvl w:val="0"/>
          <w:numId w:val="3"/>
        </w:num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Článok</w:t>
      </w:r>
    </w:p>
    <w:p w14:paraId="21F3861D" w14:textId="77777777" w:rsidR="00A63A6E" w:rsidRPr="005565D2" w:rsidRDefault="00A63A6E" w:rsidP="00A63A6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5565D2">
        <w:rPr>
          <w:rFonts w:ascii="Arial" w:hAnsi="Arial" w:cs="Arial"/>
          <w:b/>
          <w:color w:val="auto"/>
          <w:sz w:val="22"/>
          <w:szCs w:val="22"/>
        </w:rPr>
        <w:t>Spoločné a záverečné ustanovenia</w:t>
      </w:r>
    </w:p>
    <w:p w14:paraId="166CD656" w14:textId="77777777" w:rsidR="00A63A6E" w:rsidRPr="005565D2" w:rsidRDefault="00A63A6E" w:rsidP="00A63A6E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14:paraId="686765E0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sa dohodli, že práva a povinnosti, ktoré nie sú upravené touto zmluvou sa spravujú Prevádzkovým poriadkom PDS, ktorý je neoddeliteľnou súčasťou tejto zmluvy a tvorí jej prílohu č. 2, zákonom č. 251/2012 Z. z. o energetike a o zmene a doplnení niektorých zákonov, Vyhláškou ÚRSO č. 24/2013 Z. z., ktorou sa ustanovujú pravidlá pre fungovanie vnútorného trhu s elektrinou a pravidlá pre fungovanie vnútorného trhu s plynom a Obchodným zákonníkom. </w:t>
      </w:r>
    </w:p>
    <w:p w14:paraId="61BC2AE6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Túto zmluvu je možné meniť a dopĺňať iba v súlade s § 18 zákona č. 343/2015 Z. z. o verejnom obstarávaní a o zmene a doplnení niektorých zákonov, vo forme písomných dodatkov, po súhlase oboch zmluvných strán. Všetky dodatky budú označené poradovými číslami a podpísané osobami oprávnenými konať vo veciach tejto zmluvy.</w:t>
      </w:r>
    </w:p>
    <w:p w14:paraId="0AC6A24F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Zmluvné strany pristúpia k zmene podmienok zmluvy formou dodatku k zmluve v súlade s 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ust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. čl. 7.2 tejto zmluvy v prípade, ak Úrad pre reguláciu sieťových odvetví upraví poplatky po termíne uzatvorenia tejto zmluvy, alebo dôjde k zmene zákonnej úpravy o DPH, alebo inej zákonnej zmene, ktorá sa dotkne obsahu práv a povinností z tejto zmluvy.  </w:t>
      </w:r>
    </w:p>
    <w:p w14:paraId="014D61A2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Táto zmluva nadobúda platnosť dňom jej podpísania obidvomi zmluvnými stranami a účinnosť nadobúda nasledujúci deň po dni jej zverejnenia v súlade s § 47a ods.1 zákona č.40/1964 Zb. Občiansky zákonník v platnom znení. </w:t>
      </w:r>
    </w:p>
    <w:p w14:paraId="10A7286B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Táto zmluva je vyhotovená v šiestich rovnopisoch, pričom Dodávateľ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obdrží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tri vyhotovenia a tri vyhotovenia </w:t>
      </w:r>
      <w:proofErr w:type="spellStart"/>
      <w:r w:rsidRPr="005565D2">
        <w:rPr>
          <w:rFonts w:ascii="Arial" w:hAnsi="Arial" w:cs="Arial"/>
          <w:color w:val="auto"/>
          <w:sz w:val="22"/>
          <w:szCs w:val="22"/>
        </w:rPr>
        <w:t>obdrží</w:t>
      </w:r>
      <w:proofErr w:type="spellEnd"/>
      <w:r w:rsidRPr="005565D2">
        <w:rPr>
          <w:rFonts w:ascii="Arial" w:hAnsi="Arial" w:cs="Arial"/>
          <w:color w:val="auto"/>
          <w:sz w:val="22"/>
          <w:szCs w:val="22"/>
        </w:rPr>
        <w:t xml:space="preserve"> Odberateľ.  </w:t>
      </w:r>
    </w:p>
    <w:p w14:paraId="77C65CEC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 xml:space="preserve">Zmluvné strany vyhlasujú, že túto zmluvu uzatvárajú slobodne a vážne, že ich zmluvná voľnosť nie je obmedzená, že ustanovenia tejto zmluvy sú pre nich zrozumiteľné a určité, že zmluvu neuzatvárajú v omyle a následne po tom, čo si túto zmluvu prečítali a porozumeli jej obsahu, ju na znak súhlasu s celým jej obsahom podpisujú. </w:t>
      </w:r>
    </w:p>
    <w:p w14:paraId="0FE7BD17" w14:textId="77777777" w:rsidR="00A63A6E" w:rsidRPr="005565D2" w:rsidRDefault="00A63A6E" w:rsidP="00A63A6E">
      <w:pPr>
        <w:pStyle w:val="Default"/>
        <w:numPr>
          <w:ilvl w:val="1"/>
          <w:numId w:val="3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</w:p>
    <w:p w14:paraId="484DD413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6CCDC9FF" w14:textId="77777777" w:rsidR="00A63A6E" w:rsidRPr="005565D2" w:rsidRDefault="00A63A6E" w:rsidP="00A63A6E">
      <w:pPr>
        <w:pStyle w:val="Default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5565D2">
        <w:rPr>
          <w:rFonts w:ascii="Arial" w:hAnsi="Arial" w:cs="Arial"/>
          <w:b/>
          <w:color w:val="auto"/>
          <w:sz w:val="22"/>
          <w:szCs w:val="22"/>
          <w:u w:val="single"/>
        </w:rPr>
        <w:t>Prílohy k zmluve:</w:t>
      </w:r>
    </w:p>
    <w:p w14:paraId="2DCB2776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Zoznam odberných miest a ich kategorické zaradenie</w:t>
      </w:r>
    </w:p>
    <w:p w14:paraId="65B59C07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bookmarkStart w:id="0" w:name="_GoBack"/>
      <w:r w:rsidRPr="005565D2">
        <w:rPr>
          <w:rFonts w:ascii="Arial" w:hAnsi="Arial" w:cs="Arial"/>
          <w:color w:val="auto"/>
          <w:sz w:val="22"/>
          <w:szCs w:val="22"/>
        </w:rPr>
        <w:t>Prevádzkový poriadok PDS</w:t>
      </w:r>
    </w:p>
    <w:bookmarkEnd w:id="0"/>
    <w:p w14:paraId="032FA14C" w14:textId="77777777" w:rsidR="00A63A6E" w:rsidRPr="005565D2" w:rsidRDefault="00A63A6E" w:rsidP="00A63A6E">
      <w:pPr>
        <w:pStyle w:val="Default"/>
        <w:numPr>
          <w:ilvl w:val="0"/>
          <w:numId w:val="6"/>
        </w:numPr>
        <w:rPr>
          <w:rFonts w:ascii="Arial" w:hAnsi="Arial" w:cs="Arial"/>
          <w:color w:val="auto"/>
          <w:sz w:val="22"/>
          <w:szCs w:val="22"/>
        </w:rPr>
      </w:pPr>
      <w:r w:rsidRPr="005565D2">
        <w:rPr>
          <w:rFonts w:ascii="Arial" w:hAnsi="Arial" w:cs="Arial"/>
          <w:color w:val="auto"/>
          <w:sz w:val="22"/>
          <w:szCs w:val="22"/>
        </w:rPr>
        <w:t>Splátkový kalendár zálohových platieb</w:t>
      </w:r>
    </w:p>
    <w:p w14:paraId="554B9189" w14:textId="77777777" w:rsidR="00A63A6E" w:rsidRPr="005565D2" w:rsidRDefault="00A63A6E" w:rsidP="00A63A6E">
      <w:pPr>
        <w:pStyle w:val="Default"/>
        <w:ind w:left="786"/>
        <w:rPr>
          <w:rFonts w:ascii="Arial" w:hAnsi="Arial" w:cs="Arial"/>
          <w:color w:val="auto"/>
          <w:sz w:val="22"/>
          <w:szCs w:val="22"/>
        </w:rPr>
      </w:pPr>
    </w:p>
    <w:p w14:paraId="4F1B2610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5F9016DE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>V Trenčíne, dňa ............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V ............., dňa .............</w:t>
      </w:r>
    </w:p>
    <w:p w14:paraId="35CA216F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</w:p>
    <w:p w14:paraId="2671708C" w14:textId="77777777" w:rsidR="00A63A6E" w:rsidRPr="005565D2" w:rsidRDefault="00A63A6E" w:rsidP="00A63A6E">
      <w:pPr>
        <w:pStyle w:val="Bezriadkovania"/>
        <w:rPr>
          <w:rFonts w:ascii="Arial" w:hAnsi="Arial" w:cs="Arial"/>
        </w:rPr>
      </w:pPr>
      <w:r w:rsidRPr="005565D2">
        <w:rPr>
          <w:rFonts w:ascii="Arial" w:hAnsi="Arial" w:cs="Arial"/>
        </w:rPr>
        <w:t xml:space="preserve">Za Odberateľa: </w:t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</w:r>
      <w:r w:rsidRPr="005565D2">
        <w:rPr>
          <w:rFonts w:ascii="Arial" w:hAnsi="Arial" w:cs="Arial"/>
        </w:rPr>
        <w:tab/>
        <w:t>Za Dodávateľa:</w:t>
      </w:r>
    </w:p>
    <w:p w14:paraId="68F780CD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7A151F6C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1763621B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5AB760A0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4802CA84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2E20157A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 w:val="0"/>
        </w:rPr>
      </w:pPr>
    </w:p>
    <w:p w14:paraId="1FE4B5E6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Cs w:val="0"/>
        </w:rPr>
      </w:pPr>
      <w:r w:rsidRPr="005565D2">
        <w:rPr>
          <w:rStyle w:val="Siln"/>
          <w:rFonts w:ascii="Arial" w:hAnsi="Arial" w:cs="Arial"/>
          <w:bCs w:val="0"/>
        </w:rPr>
        <w:t>Príloha č. 1</w:t>
      </w:r>
    </w:p>
    <w:p w14:paraId="24230476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Cs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268"/>
      </w:tblGrid>
      <w:tr w:rsidR="00A63A6E" w:rsidRPr="00E371B2" w14:paraId="63A35B64" w14:textId="77777777" w:rsidTr="005565D2">
        <w:tc>
          <w:tcPr>
            <w:tcW w:w="846" w:type="dxa"/>
          </w:tcPr>
          <w:p w14:paraId="6E6ED66A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Cs w:val="0"/>
              </w:rPr>
            </w:pPr>
            <w:proofErr w:type="spellStart"/>
            <w:r w:rsidRPr="005565D2">
              <w:rPr>
                <w:rStyle w:val="Siln"/>
                <w:rFonts w:ascii="Arial" w:hAnsi="Arial" w:cs="Arial"/>
                <w:bCs w:val="0"/>
              </w:rPr>
              <w:t>Por.č</w:t>
            </w:r>
            <w:proofErr w:type="spellEnd"/>
            <w:r w:rsidRPr="005565D2">
              <w:rPr>
                <w:rStyle w:val="Siln"/>
                <w:rFonts w:ascii="Arial" w:hAnsi="Arial" w:cs="Arial"/>
                <w:bCs w:val="0"/>
              </w:rPr>
              <w:t>.</w:t>
            </w:r>
          </w:p>
        </w:tc>
        <w:tc>
          <w:tcPr>
            <w:tcW w:w="4111" w:type="dxa"/>
          </w:tcPr>
          <w:p w14:paraId="2D249F83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Cs w:val="0"/>
              </w:rPr>
            </w:pPr>
            <w:r w:rsidRPr="005565D2">
              <w:rPr>
                <w:rStyle w:val="Siln"/>
                <w:rFonts w:ascii="Arial" w:hAnsi="Arial" w:cs="Arial"/>
                <w:bCs w:val="0"/>
              </w:rPr>
              <w:t>Odberné miesto OM</w:t>
            </w:r>
          </w:p>
        </w:tc>
        <w:tc>
          <w:tcPr>
            <w:tcW w:w="2268" w:type="dxa"/>
          </w:tcPr>
          <w:p w14:paraId="710839EE" w14:textId="7777777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Cs w:val="0"/>
              </w:rPr>
            </w:pPr>
          </w:p>
        </w:tc>
      </w:tr>
      <w:tr w:rsidR="00A63A6E" w:rsidRPr="00E371B2" w14:paraId="7B3B7ADB" w14:textId="77777777" w:rsidTr="005565D2">
        <w:tc>
          <w:tcPr>
            <w:tcW w:w="846" w:type="dxa"/>
          </w:tcPr>
          <w:p w14:paraId="0CF5F5F4" w14:textId="3CE1C90E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  <w:tc>
          <w:tcPr>
            <w:tcW w:w="4111" w:type="dxa"/>
          </w:tcPr>
          <w:p w14:paraId="52E95753" w14:textId="28721D7B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  <w:tc>
          <w:tcPr>
            <w:tcW w:w="2268" w:type="dxa"/>
          </w:tcPr>
          <w:p w14:paraId="5CC7E225" w14:textId="4FCA8C38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</w:tr>
      <w:tr w:rsidR="00C62DE7" w:rsidRPr="00E371B2" w14:paraId="283695C7" w14:textId="77777777" w:rsidTr="005565D2">
        <w:tc>
          <w:tcPr>
            <w:tcW w:w="846" w:type="dxa"/>
          </w:tcPr>
          <w:p w14:paraId="5F35662C" w14:textId="77777777" w:rsidR="00C62DE7" w:rsidRPr="005565D2" w:rsidRDefault="00C62DE7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  <w:tc>
          <w:tcPr>
            <w:tcW w:w="4111" w:type="dxa"/>
          </w:tcPr>
          <w:p w14:paraId="1E9D805A" w14:textId="77777777" w:rsidR="00C62DE7" w:rsidRPr="005565D2" w:rsidRDefault="00C62DE7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  <w:tc>
          <w:tcPr>
            <w:tcW w:w="2268" w:type="dxa"/>
          </w:tcPr>
          <w:p w14:paraId="1B51B26C" w14:textId="77777777" w:rsidR="00C62DE7" w:rsidRPr="005565D2" w:rsidRDefault="00C62DE7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</w:tr>
      <w:tr w:rsidR="00C62DE7" w:rsidRPr="00E371B2" w14:paraId="614F059B" w14:textId="77777777" w:rsidTr="005565D2">
        <w:tc>
          <w:tcPr>
            <w:tcW w:w="846" w:type="dxa"/>
          </w:tcPr>
          <w:p w14:paraId="25A9C902" w14:textId="77777777" w:rsidR="00C62DE7" w:rsidRPr="005565D2" w:rsidRDefault="00C62DE7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  <w:tc>
          <w:tcPr>
            <w:tcW w:w="4111" w:type="dxa"/>
          </w:tcPr>
          <w:p w14:paraId="7D91075F" w14:textId="77777777" w:rsidR="00C62DE7" w:rsidRPr="005565D2" w:rsidRDefault="00C62DE7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  <w:tc>
          <w:tcPr>
            <w:tcW w:w="2268" w:type="dxa"/>
          </w:tcPr>
          <w:p w14:paraId="3FD4C9D0" w14:textId="77777777" w:rsidR="00C62DE7" w:rsidRPr="005565D2" w:rsidRDefault="00C62DE7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</w:tr>
      <w:tr w:rsidR="00C62DE7" w:rsidRPr="00E371B2" w14:paraId="4025B1AC" w14:textId="77777777" w:rsidTr="005565D2">
        <w:tc>
          <w:tcPr>
            <w:tcW w:w="846" w:type="dxa"/>
          </w:tcPr>
          <w:p w14:paraId="23D6A8EB" w14:textId="77777777" w:rsidR="00C62DE7" w:rsidRPr="005565D2" w:rsidRDefault="00C62DE7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  <w:tc>
          <w:tcPr>
            <w:tcW w:w="4111" w:type="dxa"/>
          </w:tcPr>
          <w:p w14:paraId="7D1B092C" w14:textId="77777777" w:rsidR="00C62DE7" w:rsidRPr="005565D2" w:rsidRDefault="00C62DE7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  <w:tc>
          <w:tcPr>
            <w:tcW w:w="2268" w:type="dxa"/>
          </w:tcPr>
          <w:p w14:paraId="113BD9F8" w14:textId="77777777" w:rsidR="00C62DE7" w:rsidRPr="005565D2" w:rsidRDefault="00C62DE7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</w:tr>
      <w:tr w:rsidR="00A63A6E" w:rsidRPr="00E371B2" w14:paraId="6051F7BF" w14:textId="77777777" w:rsidTr="005565D2">
        <w:tc>
          <w:tcPr>
            <w:tcW w:w="846" w:type="dxa"/>
          </w:tcPr>
          <w:p w14:paraId="33E52676" w14:textId="77099C4D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  <w:tc>
          <w:tcPr>
            <w:tcW w:w="4111" w:type="dxa"/>
          </w:tcPr>
          <w:p w14:paraId="79013CED" w14:textId="1EB73F71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  <w:tc>
          <w:tcPr>
            <w:tcW w:w="2268" w:type="dxa"/>
          </w:tcPr>
          <w:p w14:paraId="3F8B5BEA" w14:textId="3CEB01F7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</w:tr>
      <w:tr w:rsidR="00A63A6E" w:rsidRPr="00E371B2" w14:paraId="04D00988" w14:textId="77777777" w:rsidTr="005565D2">
        <w:tc>
          <w:tcPr>
            <w:tcW w:w="846" w:type="dxa"/>
          </w:tcPr>
          <w:p w14:paraId="439A4F20" w14:textId="66984C9E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  <w:tc>
          <w:tcPr>
            <w:tcW w:w="4111" w:type="dxa"/>
          </w:tcPr>
          <w:p w14:paraId="11DA5851" w14:textId="0A39CDC9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  <w:tc>
          <w:tcPr>
            <w:tcW w:w="2268" w:type="dxa"/>
          </w:tcPr>
          <w:p w14:paraId="007ADF2A" w14:textId="46BE3666" w:rsidR="00A63A6E" w:rsidRPr="005565D2" w:rsidRDefault="00A63A6E" w:rsidP="005565D2">
            <w:pPr>
              <w:pStyle w:val="Bezriadkovania"/>
              <w:rPr>
                <w:rStyle w:val="Siln"/>
                <w:rFonts w:ascii="Arial" w:hAnsi="Arial" w:cs="Arial"/>
                <w:b w:val="0"/>
              </w:rPr>
            </w:pPr>
          </w:p>
        </w:tc>
      </w:tr>
    </w:tbl>
    <w:p w14:paraId="3C0A4D85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Cs w:val="0"/>
        </w:rPr>
      </w:pPr>
    </w:p>
    <w:p w14:paraId="724CC59B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Cs w:val="0"/>
        </w:rPr>
      </w:pPr>
    </w:p>
    <w:p w14:paraId="0645C78B" w14:textId="77777777" w:rsidR="00A63A6E" w:rsidRPr="005565D2" w:rsidRDefault="00A63A6E" w:rsidP="00A63A6E">
      <w:pPr>
        <w:pStyle w:val="Bezriadkovania"/>
        <w:rPr>
          <w:rStyle w:val="Siln"/>
          <w:rFonts w:ascii="Arial" w:hAnsi="Arial" w:cs="Arial"/>
          <w:bCs w:val="0"/>
        </w:rPr>
      </w:pPr>
    </w:p>
    <w:sectPr w:rsidR="00A63A6E" w:rsidRPr="005565D2" w:rsidSect="00A63A6E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D05BE" w16cex:dateUtc="2021-11-15T15:13:00Z"/>
  <w16cex:commentExtensible w16cex:durableId="253D0A57" w16cex:dateUtc="2021-11-15T15:33:00Z"/>
  <w16cex:commentExtensible w16cex:durableId="253D0B29" w16cex:dateUtc="2021-11-15T15:36:00Z"/>
  <w16cex:commentExtensible w16cex:durableId="253DF8B5" w16cex:dateUtc="2021-11-16T08:30:00Z"/>
  <w16cex:commentExtensible w16cex:durableId="253D0992" w16cex:dateUtc="2021-11-15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B0FE144" w16cid:durableId="253D05BE"/>
  <w16cid:commentId w16cid:paraId="0B41C632" w16cid:durableId="253D0A57"/>
  <w16cid:commentId w16cid:paraId="755D337E" w16cid:durableId="253D0B29"/>
  <w16cid:commentId w16cid:paraId="328E15BE" w16cid:durableId="253DF8B5"/>
  <w16cid:commentId w16cid:paraId="0FE4DF69" w16cid:durableId="253D099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F5BF3"/>
    <w:multiLevelType w:val="multilevel"/>
    <w:tmpl w:val="ED2C419E"/>
    <w:styleLink w:val="t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1224" w:hanging="504"/>
      </w:pPr>
      <w:rPr>
        <w:rFonts w:ascii="Times New Roman" w:hAnsi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BFE5353"/>
    <w:multiLevelType w:val="multilevel"/>
    <w:tmpl w:val="ED2C419E"/>
    <w:numStyleLink w:val="tl1"/>
  </w:abstractNum>
  <w:abstractNum w:abstractNumId="2" w15:restartNumberingAfterBreak="0">
    <w:nsid w:val="0F2F43D0"/>
    <w:multiLevelType w:val="hybridMultilevel"/>
    <w:tmpl w:val="DD9E7F74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3031A6"/>
    <w:multiLevelType w:val="hybridMultilevel"/>
    <w:tmpl w:val="E44847D2"/>
    <w:lvl w:ilvl="0" w:tplc="0D26B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F27AD2"/>
    <w:multiLevelType w:val="multilevel"/>
    <w:tmpl w:val="ED2C41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5ED0225"/>
    <w:multiLevelType w:val="hybridMultilevel"/>
    <w:tmpl w:val="C4F8EF2A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F830FF5"/>
    <w:multiLevelType w:val="hybridMultilevel"/>
    <w:tmpl w:val="8F18FDF4"/>
    <w:lvl w:ilvl="0" w:tplc="3CA013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DD9765F"/>
    <w:multiLevelType w:val="hybridMultilevel"/>
    <w:tmpl w:val="4914D92E"/>
    <w:lvl w:ilvl="0" w:tplc="31CA771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A6E"/>
    <w:rsid w:val="00287A96"/>
    <w:rsid w:val="002923E0"/>
    <w:rsid w:val="0054286C"/>
    <w:rsid w:val="006A0BF7"/>
    <w:rsid w:val="006F13AD"/>
    <w:rsid w:val="0070001E"/>
    <w:rsid w:val="00956B34"/>
    <w:rsid w:val="009D4CDA"/>
    <w:rsid w:val="00A63A6E"/>
    <w:rsid w:val="00C257E7"/>
    <w:rsid w:val="00C62DE7"/>
    <w:rsid w:val="00D46DA3"/>
    <w:rsid w:val="00DE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845B8"/>
  <w15:chartTrackingRefBased/>
  <w15:docId w15:val="{F06F2D64-F071-4B61-9AA5-F521824FC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63A6E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63A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63A6E"/>
    <w:pPr>
      <w:spacing w:after="0" w:line="240" w:lineRule="auto"/>
    </w:p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63A6E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A63A6E"/>
    <w:rPr>
      <w:b/>
      <w:bCs/>
    </w:rPr>
  </w:style>
  <w:style w:type="numbering" w:customStyle="1" w:styleId="tl1">
    <w:name w:val="Štýl1"/>
    <w:uiPriority w:val="99"/>
    <w:rsid w:val="00A63A6E"/>
    <w:pPr>
      <w:numPr>
        <w:numId w:val="2"/>
      </w:numPr>
    </w:pPr>
  </w:style>
  <w:style w:type="character" w:customStyle="1" w:styleId="OdsekzoznamuChar">
    <w:name w:val="Odsek zoznamu Char"/>
    <w:aliases w:val="body Char,Odsek Char"/>
    <w:link w:val="Odsekzoznamu"/>
    <w:uiPriority w:val="34"/>
    <w:locked/>
    <w:rsid w:val="00A63A6E"/>
  </w:style>
  <w:style w:type="character" w:styleId="Odkaznakomentr">
    <w:name w:val="annotation reference"/>
    <w:basedOn w:val="Predvolenpsmoodseku"/>
    <w:uiPriority w:val="99"/>
    <w:semiHidden/>
    <w:unhideWhenUsed/>
    <w:rsid w:val="00A63A6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63A6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63A6E"/>
    <w:rPr>
      <w:sz w:val="20"/>
      <w:szCs w:val="20"/>
    </w:rPr>
  </w:style>
  <w:style w:type="table" w:styleId="Mriekatabuky">
    <w:name w:val="Table Grid"/>
    <w:basedOn w:val="Normlnatabuka"/>
    <w:uiPriority w:val="39"/>
    <w:rsid w:val="00A63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A63A6E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46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6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65E99-E28F-4F40-BACC-77183C4BB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Chorvátová Gabriela, Bc.</dc:creator>
  <cp:keywords/>
  <dc:description/>
  <cp:lastModifiedBy>Marcela T.</cp:lastModifiedBy>
  <cp:revision>3</cp:revision>
  <dcterms:created xsi:type="dcterms:W3CDTF">2022-01-21T15:42:00Z</dcterms:created>
  <dcterms:modified xsi:type="dcterms:W3CDTF">2022-01-21T15:55:00Z</dcterms:modified>
</cp:coreProperties>
</file>