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7D" w:rsidRPr="008323A7" w:rsidRDefault="00C40681">
      <w:pPr>
        <w:pStyle w:val="Zkladntext1"/>
        <w:shd w:val="clear" w:color="auto" w:fill="auto"/>
        <w:spacing w:after="240"/>
        <w:jc w:val="right"/>
        <w:rPr>
          <w:sz w:val="20"/>
          <w:szCs w:val="20"/>
        </w:rPr>
      </w:pPr>
      <w:r w:rsidRPr="008323A7">
        <w:rPr>
          <w:sz w:val="20"/>
          <w:szCs w:val="20"/>
        </w:rPr>
        <w:t xml:space="preserve">Príloha č. </w:t>
      </w:r>
      <w:r w:rsidR="00565EA2" w:rsidRPr="008323A7">
        <w:rPr>
          <w:sz w:val="20"/>
          <w:szCs w:val="20"/>
          <w:lang w:eastAsia="en-US" w:bidi="en-US"/>
        </w:rPr>
        <w:t>7</w:t>
      </w:r>
      <w:r w:rsidRPr="008323A7">
        <w:rPr>
          <w:sz w:val="20"/>
          <w:szCs w:val="20"/>
          <w:lang w:eastAsia="en-US" w:bidi="en-US"/>
        </w:rPr>
        <w:t xml:space="preserve"> </w:t>
      </w:r>
      <w:r w:rsidRPr="008323A7">
        <w:rPr>
          <w:sz w:val="20"/>
          <w:szCs w:val="20"/>
        </w:rPr>
        <w:t xml:space="preserve">súťažných </w:t>
      </w:r>
      <w:r w:rsidRPr="008323A7">
        <w:rPr>
          <w:sz w:val="20"/>
          <w:szCs w:val="20"/>
          <w:lang w:eastAsia="en-US" w:bidi="en-US"/>
        </w:rPr>
        <w:t>podkladov</w:t>
      </w:r>
    </w:p>
    <w:p w:rsidR="00583D7D" w:rsidRPr="008323A7" w:rsidRDefault="00C40681">
      <w:pPr>
        <w:pStyle w:val="Zkladntext20"/>
        <w:shd w:val="clear" w:color="auto" w:fill="auto"/>
      </w:pPr>
      <w:bookmarkStart w:id="0" w:name="_GoBack"/>
      <w:bookmarkEnd w:id="0"/>
      <w:r w:rsidRPr="008323A7">
        <w:t xml:space="preserve">Odôvodnenie </w:t>
      </w:r>
      <w:r w:rsidRPr="008323A7">
        <w:rPr>
          <w:lang w:eastAsia="en-US" w:bidi="en-US"/>
        </w:rPr>
        <w:t xml:space="preserve">nerozdelenia </w:t>
      </w:r>
      <w:r w:rsidRPr="008323A7">
        <w:t xml:space="preserve">zákazky </w:t>
      </w:r>
      <w:r w:rsidRPr="008323A7">
        <w:rPr>
          <w:lang w:eastAsia="en-US" w:bidi="en-US"/>
        </w:rPr>
        <w:t xml:space="preserve">na </w:t>
      </w:r>
      <w:r w:rsidRPr="008323A7">
        <w:t>časti</w:t>
      </w:r>
    </w:p>
    <w:p w:rsidR="00583D7D" w:rsidRPr="008323A7" w:rsidRDefault="00C40681">
      <w:pPr>
        <w:pStyle w:val="Zkladntext1"/>
        <w:shd w:val="clear" w:color="auto" w:fill="auto"/>
        <w:jc w:val="center"/>
      </w:pPr>
      <w:r w:rsidRPr="008323A7">
        <w:t xml:space="preserve">podľa </w:t>
      </w:r>
      <w:r w:rsidRPr="008323A7">
        <w:rPr>
          <w:lang w:eastAsia="en-US" w:bidi="en-US"/>
        </w:rPr>
        <w:t xml:space="preserve">§ 28 ods. 2 </w:t>
      </w:r>
      <w:r w:rsidRPr="008323A7">
        <w:t xml:space="preserve">zákona č. </w:t>
      </w:r>
      <w:r w:rsidRPr="008323A7">
        <w:rPr>
          <w:lang w:eastAsia="en-US" w:bidi="en-US"/>
        </w:rPr>
        <w:t xml:space="preserve">343/2015 Z. z. o verejnom </w:t>
      </w:r>
      <w:r w:rsidRPr="008323A7">
        <w:t xml:space="preserve">obstarávaní </w:t>
      </w:r>
      <w:r w:rsidRPr="008323A7">
        <w:rPr>
          <w:lang w:eastAsia="en-US" w:bidi="en-US"/>
        </w:rPr>
        <w:t xml:space="preserve">a o zmene a </w:t>
      </w:r>
      <w:r w:rsidRPr="008323A7">
        <w:t>doplnení niektorých zákonov</w:t>
      </w:r>
      <w:r w:rsidRPr="008323A7">
        <w:br/>
      </w:r>
      <w:r w:rsidRPr="008323A7">
        <w:rPr>
          <w:lang w:eastAsia="en-US" w:bidi="en-US"/>
        </w:rPr>
        <w:t xml:space="preserve">v </w:t>
      </w:r>
      <w:r w:rsidRPr="008323A7">
        <w:t xml:space="preserve">znení neskorších </w:t>
      </w:r>
      <w:r w:rsidRPr="008323A7">
        <w:rPr>
          <w:lang w:eastAsia="en-US" w:bidi="en-US"/>
        </w:rPr>
        <w:t xml:space="preserve">predpisov </w:t>
      </w:r>
      <w:r w:rsidRPr="008323A7">
        <w:t xml:space="preserve">(ďalej </w:t>
      </w:r>
      <w:r w:rsidRPr="008323A7">
        <w:rPr>
          <w:lang w:eastAsia="en-US" w:bidi="en-US"/>
        </w:rPr>
        <w:t xml:space="preserve">len </w:t>
      </w:r>
      <w:r w:rsidRPr="008323A7">
        <w:t xml:space="preserve">„zákon </w:t>
      </w:r>
      <w:r w:rsidRPr="008323A7">
        <w:rPr>
          <w:lang w:eastAsia="en-US" w:bidi="en-US"/>
        </w:rPr>
        <w:t xml:space="preserve">o verejnom </w:t>
      </w:r>
      <w:r w:rsidRPr="008323A7">
        <w:t>obstarávaní“)</w:t>
      </w:r>
    </w:p>
    <w:p w:rsidR="00583D7D" w:rsidRPr="008323A7" w:rsidRDefault="00C40681">
      <w:pPr>
        <w:pStyle w:val="Zkladntext1"/>
        <w:shd w:val="clear" w:color="auto" w:fill="auto"/>
      </w:pPr>
      <w:r w:rsidRPr="008323A7">
        <w:rPr>
          <w:b/>
          <w:bCs/>
        </w:rPr>
        <w:t>Verejný obstarávateľ:</w:t>
      </w:r>
    </w:p>
    <w:p w:rsidR="00583D7D" w:rsidRPr="008323A7" w:rsidRDefault="00C40681">
      <w:pPr>
        <w:pStyle w:val="Zkladntext1"/>
        <w:shd w:val="clear" w:color="auto" w:fill="auto"/>
        <w:spacing w:after="0"/>
      </w:pPr>
      <w:r w:rsidRPr="008323A7">
        <w:rPr>
          <w:lang w:eastAsia="en-US" w:bidi="en-US"/>
        </w:rPr>
        <w:t xml:space="preserve">Ministerstvo </w:t>
      </w:r>
      <w:r w:rsidRPr="008323A7">
        <w:t xml:space="preserve">vnútra </w:t>
      </w:r>
      <w:r w:rsidRPr="008323A7">
        <w:rPr>
          <w:lang w:eastAsia="en-US" w:bidi="en-US"/>
        </w:rPr>
        <w:t>Slovenskej republiky</w:t>
      </w:r>
    </w:p>
    <w:p w:rsidR="00583D7D" w:rsidRPr="008323A7" w:rsidRDefault="00C40681">
      <w:pPr>
        <w:pStyle w:val="Zkladntext1"/>
        <w:shd w:val="clear" w:color="auto" w:fill="auto"/>
        <w:spacing w:after="0"/>
      </w:pPr>
      <w:r w:rsidRPr="008323A7">
        <w:rPr>
          <w:lang w:eastAsia="en-US" w:bidi="en-US"/>
        </w:rPr>
        <w:t>Pribinova 2, 812 72 Bratislava</w:t>
      </w:r>
    </w:p>
    <w:p w:rsidR="00583D7D" w:rsidRPr="008323A7" w:rsidRDefault="00C40681">
      <w:pPr>
        <w:pStyle w:val="Zkladntext1"/>
        <w:shd w:val="clear" w:color="auto" w:fill="auto"/>
      </w:pPr>
      <w:r w:rsidRPr="008323A7">
        <w:t xml:space="preserve">IČO: </w:t>
      </w:r>
      <w:r w:rsidRPr="008323A7">
        <w:rPr>
          <w:lang w:eastAsia="en-US" w:bidi="en-US"/>
        </w:rPr>
        <w:t>00151866</w:t>
      </w:r>
    </w:p>
    <w:p w:rsidR="00583D7D" w:rsidRPr="008323A7" w:rsidRDefault="00C40681">
      <w:pPr>
        <w:pStyle w:val="Zkladntext1"/>
        <w:shd w:val="clear" w:color="auto" w:fill="auto"/>
      </w:pPr>
      <w:r w:rsidRPr="008323A7">
        <w:t xml:space="preserve">Názov </w:t>
      </w:r>
      <w:r w:rsidRPr="008323A7">
        <w:rPr>
          <w:lang w:eastAsia="en-US" w:bidi="en-US"/>
        </w:rPr>
        <w:t xml:space="preserve">predmetu </w:t>
      </w:r>
      <w:r w:rsidRPr="008323A7">
        <w:t>zákazky:</w:t>
      </w:r>
    </w:p>
    <w:p w:rsidR="00583D7D" w:rsidRPr="008323A7" w:rsidRDefault="00577AB6">
      <w:pPr>
        <w:pStyle w:val="Zkladntext1"/>
        <w:shd w:val="clear" w:color="auto" w:fill="auto"/>
      </w:pPr>
      <w:r w:rsidRPr="008323A7">
        <w:rPr>
          <w:b/>
          <w:bCs/>
          <w:lang w:eastAsia="en-US" w:bidi="en-US"/>
        </w:rPr>
        <w:t xml:space="preserve">Mobilná komunikácia HaZZ </w:t>
      </w:r>
    </w:p>
    <w:p w:rsidR="00577AB6" w:rsidRPr="008323A7" w:rsidRDefault="00577AB6">
      <w:pPr>
        <w:pStyle w:val="Zkladntext1"/>
        <w:shd w:val="clear" w:color="auto" w:fill="auto"/>
        <w:spacing w:after="0"/>
      </w:pPr>
      <w:r w:rsidRPr="008323A7">
        <w:t>Predmetom zákazky je nákup systému pozostávajúceho z 8 samostatných identických súprav technických prostriedkov - HW a SW z dôvodu zabezpečenia splnenia požiadavky na odolné nezávislé komunikačné prostredie na podporu nepretržitej výmeny informácií, zrýchlenie a skvalitnenie rozhodovacieho procesu krízových štábov HaZZ v mieste nasadenia a zefektívni riadenie zasahujúcich a  kooperáciu s nadriadeným stupňom</w:t>
      </w:r>
      <w:r w:rsidR="0066605A" w:rsidRPr="008323A7">
        <w:t xml:space="preserve"> Súčasťou dodávky zákazky je aj vypracovanie bezpečnostného projektu</w:t>
      </w:r>
      <w:r w:rsidRPr="008323A7">
        <w:t>.</w:t>
      </w:r>
    </w:p>
    <w:p w:rsidR="00577AB6" w:rsidRPr="008323A7" w:rsidRDefault="0066605A" w:rsidP="00577AB6">
      <w:pPr>
        <w:pStyle w:val="Zkladntext1"/>
        <w:shd w:val="clear" w:color="auto" w:fill="auto"/>
        <w:spacing w:after="0"/>
      </w:pPr>
      <w:r w:rsidRPr="008323A7">
        <w:t>Rozsah</w:t>
      </w:r>
      <w:r w:rsidR="00C40681" w:rsidRPr="008323A7">
        <w:t>:</w:t>
      </w:r>
    </w:p>
    <w:tbl>
      <w:tblPr>
        <w:tblW w:w="8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8214"/>
      </w:tblGrid>
      <w:tr w:rsidR="00577AB6" w:rsidRPr="008323A7" w:rsidTr="00577AB6">
        <w:trPr>
          <w:trHeight w:val="330"/>
        </w:trPr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color w:val="auto"/>
              </w:rPr>
            </w:pPr>
          </w:p>
        </w:tc>
        <w:tc>
          <w:tcPr>
            <w:tcW w:w="82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7AB6" w:rsidRPr="008323A7" w:rsidTr="008323A7">
        <w:trPr>
          <w:trHeight w:val="102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77AB6" w:rsidRPr="008323A7" w:rsidRDefault="00577AB6">
            <w:pPr>
              <w:jc w:val="center"/>
              <w:rPr>
                <w:rFonts w:ascii="Arial Narrow" w:eastAsiaTheme="minorHAnsi" w:hAnsi="Arial Narrow" w:cs="Calibri"/>
                <w:b/>
                <w:bCs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P.č.</w:t>
            </w:r>
          </w:p>
        </w:tc>
        <w:tc>
          <w:tcPr>
            <w:tcW w:w="8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77AB6" w:rsidRPr="008323A7" w:rsidRDefault="00577AB6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Popis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externej hlasovej rádiovej komunikácie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lokálnej WIFI a externej hlasovej a dátovej komunikácie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lokálnej pevnej dátovej infraštruktúry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koncových zariadení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Modul satelitného systému 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stacionárneho širokopásmového rádia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širokopásmových rádií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vyrozumievací bezpilotný letecký systém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Modul zabezpečenia mobilného pracoviska</w:t>
            </w:r>
          </w:p>
        </w:tc>
      </w:tr>
      <w:tr w:rsidR="00577AB6" w:rsidRPr="008323A7" w:rsidTr="008323A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jc w:val="right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AB6" w:rsidRPr="008323A7" w:rsidRDefault="00577AB6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323A7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Bezpečnostný projekt </w:t>
            </w:r>
          </w:p>
        </w:tc>
      </w:tr>
    </w:tbl>
    <w:p w:rsidR="00577AB6" w:rsidRPr="008323A7" w:rsidRDefault="00577AB6">
      <w:pPr>
        <w:pStyle w:val="Zkladntext1"/>
        <w:shd w:val="clear" w:color="auto" w:fill="auto"/>
        <w:jc w:val="both"/>
      </w:pPr>
    </w:p>
    <w:p w:rsidR="00583D7D" w:rsidRPr="008323A7" w:rsidRDefault="00577AB6">
      <w:pPr>
        <w:pStyle w:val="Zkladntext1"/>
        <w:shd w:val="clear" w:color="auto" w:fill="auto"/>
        <w:jc w:val="both"/>
      </w:pPr>
      <w:r w:rsidRPr="008323A7">
        <w:t>Predmetnú skupinu tovarov tvoria moduly určené pre rovnakú kategóriu činnosti</w:t>
      </w:r>
      <w:r w:rsidR="00C40681" w:rsidRPr="008323A7">
        <w:t>. Rozhodne teda nejde o rôznorodý tovar, ktorý by mal napr. i</w:t>
      </w:r>
      <w:r w:rsidRPr="008323A7">
        <w:t xml:space="preserve">ný typ dodávateľov, prípadne by </w:t>
      </w:r>
      <w:r w:rsidR="00C40681" w:rsidRPr="008323A7">
        <w:t>nutnosť rozdelenia vyplývala z geografických aspektov, prípadne z poznania šírky a počtu dodávateľov na trhu a pod.</w:t>
      </w:r>
    </w:p>
    <w:p w:rsidR="00583D7D" w:rsidRPr="008323A7" w:rsidRDefault="00C40681">
      <w:pPr>
        <w:pStyle w:val="Zkladntext1"/>
        <w:shd w:val="clear" w:color="auto" w:fill="auto"/>
        <w:jc w:val="both"/>
      </w:pPr>
      <w:r w:rsidRPr="008323A7">
        <w:t xml:space="preserve">Podľa § 28 ods. 2 zákona o verejnom obstarávaní: </w:t>
      </w:r>
      <w:r w:rsidRPr="008323A7">
        <w:rPr>
          <w:i/>
          <w:iCs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583D7D" w:rsidRPr="008323A7" w:rsidRDefault="00C40681">
      <w:pPr>
        <w:pStyle w:val="Zkladntext1"/>
        <w:shd w:val="clear" w:color="auto" w:fill="auto"/>
        <w:jc w:val="both"/>
      </w:pPr>
      <w:r w:rsidRPr="008323A7">
        <w:t>Prípadné rozdelenie na časti alebo vyhlásenie viacerých verejných obstarávaní neznamená rozšírenie potenciálneho relevantného trhu.</w:t>
      </w:r>
    </w:p>
    <w:p w:rsidR="00583D7D" w:rsidRPr="008323A7" w:rsidRDefault="00C40681">
      <w:pPr>
        <w:pStyle w:val="Zkladntext1"/>
        <w:shd w:val="clear" w:color="auto" w:fill="auto"/>
        <w:jc w:val="both"/>
      </w:pPr>
      <w:r w:rsidRPr="008323A7">
        <w:t>Najmä s ohľadom na vecné aj časové väzby, charakter predmetu zákazky, by bolo rozdelenie predmetu zákazky po technickej stránke nelogické, neúčelné, nehospodárne až objektívne nerealizovateľné.</w:t>
      </w:r>
    </w:p>
    <w:p w:rsidR="00583D7D" w:rsidRPr="008323A7" w:rsidRDefault="00C40681">
      <w:pPr>
        <w:pStyle w:val="Zkladntext1"/>
        <w:shd w:val="clear" w:color="auto" w:fill="auto"/>
        <w:jc w:val="both"/>
      </w:pPr>
      <w:r w:rsidRPr="008323A7">
        <w:t>Nerozdelenie predmetu zákazky na časti je opodstatnené a odôvodnené a nepredstavuje porušenie princípov verejného obstarávania.</w:t>
      </w:r>
    </w:p>
    <w:sectPr w:rsidR="00583D7D" w:rsidRPr="008323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25" w:right="1373" w:bottom="1225" w:left="1378" w:header="797" w:footer="7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342" w:rsidRDefault="004A0342">
      <w:r>
        <w:separator/>
      </w:r>
    </w:p>
  </w:endnote>
  <w:endnote w:type="continuationSeparator" w:id="0">
    <w:p w:rsidR="004A0342" w:rsidRDefault="004A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76E" w:rsidRDefault="0053076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76E" w:rsidRDefault="005307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76E" w:rsidRDefault="005307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342" w:rsidRDefault="004A0342"/>
  </w:footnote>
  <w:footnote w:type="continuationSeparator" w:id="0">
    <w:p w:rsidR="004A0342" w:rsidRDefault="004A034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76E" w:rsidRDefault="005307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76E" w:rsidRDefault="0053076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76E" w:rsidRDefault="005307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25635"/>
    <w:multiLevelType w:val="multilevel"/>
    <w:tmpl w:val="F30E1664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F8385E"/>
    <w:multiLevelType w:val="multilevel"/>
    <w:tmpl w:val="7E4228C0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D7D"/>
    <w:rsid w:val="000A67A7"/>
    <w:rsid w:val="004A0342"/>
    <w:rsid w:val="0053076E"/>
    <w:rsid w:val="00565EA2"/>
    <w:rsid w:val="00577AB6"/>
    <w:rsid w:val="00583D7D"/>
    <w:rsid w:val="0066605A"/>
    <w:rsid w:val="008323A7"/>
    <w:rsid w:val="00C40681"/>
    <w:rsid w:val="00D2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ý text (2)_"/>
    <w:basedOn w:val="Predvolenpsmoodseku"/>
    <w:link w:val="Zkladntext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Zkladntext1">
    <w:name w:val="Základný text1"/>
    <w:basedOn w:val="Normlny"/>
    <w:link w:val="Zkladntext"/>
    <w:pPr>
      <w:shd w:val="clear" w:color="auto" w:fill="FFFFFF"/>
      <w:spacing w:after="100"/>
    </w:pPr>
    <w:rPr>
      <w:rFonts w:ascii="Arial Narrow" w:eastAsia="Arial Narrow" w:hAnsi="Arial Narrow" w:cs="Arial Narrow"/>
      <w:sz w:val="22"/>
      <w:szCs w:val="22"/>
    </w:rPr>
  </w:style>
  <w:style w:type="paragraph" w:customStyle="1" w:styleId="Zkladntext20">
    <w:name w:val="Základný text (2)"/>
    <w:basedOn w:val="Normlny"/>
    <w:link w:val="Zkladntext2"/>
    <w:pPr>
      <w:shd w:val="clear" w:color="auto" w:fill="FFFFFF"/>
      <w:spacing w:after="100"/>
      <w:jc w:val="center"/>
    </w:pPr>
    <w:rPr>
      <w:rFonts w:ascii="Arial Narrow" w:eastAsia="Arial Narrow" w:hAnsi="Arial Narrow" w:cs="Arial Narrow"/>
      <w:b/>
      <w:bCs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5307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76E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5307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76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2022-02-07T11:35:00Z</dcterms:created>
  <dcterms:modified xsi:type="dcterms:W3CDTF">2022-02-07T11:35:00Z</dcterms:modified>
</cp:coreProperties>
</file>