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528A9C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F185E">
        <w:rPr>
          <w:rFonts w:ascii="Arial Narrow" w:hAnsi="Arial Narrow" w:cs="Calibri"/>
          <w:bCs/>
          <w:sz w:val="22"/>
          <w:szCs w:val="22"/>
          <w:lang w:val="sk-SK"/>
        </w:rPr>
        <w:t>5</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r w:rsidR="008F185E">
        <w:rPr>
          <w:rFonts w:ascii="Arial Narrow" w:hAnsi="Arial Narrow" w:cs="Arial"/>
          <w:b/>
          <w:bCs/>
          <w:i/>
          <w:i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29E9669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proofErr w:type="spellStart"/>
      <w:r w:rsidR="00345B43">
        <w:rPr>
          <w:rFonts w:ascii="Arial Narrow" w:hAnsi="Arial Narrow" w:cs="Arial"/>
          <w:b/>
          <w:bCs/>
          <w:i/>
          <w:iCs/>
          <w:sz w:val="22"/>
          <w:szCs w:val="22"/>
          <w:lang w:val="sk-SK"/>
        </w:rPr>
        <w:t>ným</w:t>
      </w:r>
      <w:proofErr w:type="spellEnd"/>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F185E">
        <w:rPr>
          <w:rFonts w:ascii="Arial Narrow" w:hAnsi="Arial Narrow" w:cs="Arial"/>
          <w:b/>
          <w:bCs/>
          <w:i/>
          <w:i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0B4F1FF"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t>4.17</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0C6495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8F185E">
        <w:rPr>
          <w:rFonts w:ascii="Arial Narrow" w:hAnsi="Arial Narrow"/>
          <w:color w:val="FF0000"/>
          <w:sz w:val="22"/>
          <w:szCs w:val="22"/>
        </w:rPr>
        <w:t>5</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7E015134"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8F185E">
        <w:rPr>
          <w:rFonts w:ascii="Arial Narrow" w:hAnsi="Arial Narrow"/>
          <w:color w:val="FF0000"/>
          <w:sz w:val="22"/>
          <w:szCs w:val="22"/>
        </w:rPr>
        <w:t>5</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406D256A" w14:textId="77777777" w:rsidR="00B31C0A" w:rsidRPr="00B31C0A" w:rsidRDefault="00B31C0A" w:rsidP="00B31C0A">
      <w:pPr>
        <w:jc w:val="both"/>
        <w:rPr>
          <w:rFonts w:ascii="Arial Narrow" w:hAnsi="Arial Narrow"/>
          <w:sz w:val="22"/>
          <w:szCs w:val="22"/>
        </w:rPr>
      </w:pPr>
    </w:p>
    <w:p w14:paraId="7185F9FE" w14:textId="7ABA9EE4" w:rsidR="006F1FFE" w:rsidRPr="008F185E" w:rsidRDefault="006F1FFE" w:rsidP="008F185E">
      <w:pPr>
        <w:tabs>
          <w:tab w:val="clear" w:pos="2160"/>
          <w:tab w:val="clear" w:pos="2880"/>
          <w:tab w:val="clear" w:pos="4500"/>
          <w:tab w:val="center" w:pos="1701"/>
          <w:tab w:val="center" w:pos="7088"/>
        </w:tabs>
        <w:jc w:val="both"/>
        <w:rPr>
          <w:rFonts w:ascii="Arial Narrow" w:hAnsi="Arial Narrow"/>
          <w:sz w:val="28"/>
          <w:szCs w:val="28"/>
        </w:rPr>
      </w:pPr>
    </w:p>
    <w:sectPr w:rsidR="006F1FFE" w:rsidRPr="008F185E"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02B9" w14:textId="77777777" w:rsidR="00F84F3B" w:rsidRDefault="00F84F3B" w:rsidP="006E6235">
      <w:r>
        <w:separator/>
      </w:r>
    </w:p>
  </w:endnote>
  <w:endnote w:type="continuationSeparator" w:id="0">
    <w:p w14:paraId="2F51F434" w14:textId="77777777" w:rsidR="00F84F3B" w:rsidRDefault="00F84F3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7D7A" w14:textId="77777777" w:rsidR="00F84F3B" w:rsidRDefault="00F84F3B" w:rsidP="006E6235">
      <w:r>
        <w:separator/>
      </w:r>
    </w:p>
  </w:footnote>
  <w:footnote w:type="continuationSeparator" w:id="0">
    <w:p w14:paraId="529706B1" w14:textId="77777777" w:rsidR="00F84F3B" w:rsidRDefault="00F84F3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640F24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F185E">
      <w:rPr>
        <w:rFonts w:ascii="Arial Narrow" w:hAnsi="Arial Narrow"/>
        <w:i/>
        <w:iCs/>
        <w:sz w:val="22"/>
        <w:szCs w:val="22"/>
      </w:rPr>
      <w:t>5</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185E"/>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84F3B"/>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3937</Words>
  <Characters>22442</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24</cp:revision>
  <cp:lastPrinted>2022-01-25T10:26:00Z</cp:lastPrinted>
  <dcterms:created xsi:type="dcterms:W3CDTF">2022-01-25T09:40:00Z</dcterms:created>
  <dcterms:modified xsi:type="dcterms:W3CDTF">2022-01-26T20:26:00Z</dcterms:modified>
</cp:coreProperties>
</file>