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7F9BFCF7"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Pr="007D3B0E">
        <w:rPr>
          <w:rFonts w:ascii="Arial Narrow" w:hAnsi="Arial Narrow"/>
          <w:i/>
          <w:iCs/>
          <w:sz w:val="22"/>
          <w:szCs w:val="22"/>
        </w:rPr>
        <w:t>Terénny ú</w:t>
      </w:r>
      <w:r w:rsidRPr="007D3B0E">
        <w:rPr>
          <w:rFonts w:cs="Arial"/>
          <w:i/>
          <w:iCs/>
          <w:sz w:val="22"/>
          <w:szCs w:val="22"/>
        </w:rPr>
        <w:t>ž</w:t>
      </w:r>
      <w:r w:rsidRPr="007D3B0E">
        <w:rPr>
          <w:rFonts w:ascii="Arial Narrow" w:hAnsi="Arial Narrow"/>
          <w:i/>
          <w:iCs/>
          <w:sz w:val="22"/>
          <w:szCs w:val="22"/>
        </w:rPr>
        <w:t>itkový automobil - Pick-up pre ÚHCP</w:t>
      </w:r>
      <w:r w:rsidRPr="001468A6">
        <w:rPr>
          <w:rFonts w:ascii="Arial Narrow" w:hAnsi="Arial Narrow" w:cs="Calibri"/>
          <w:sz w:val="22"/>
          <w:szCs w:val="22"/>
          <w:lang w:val="sk-SK"/>
        </w:rPr>
        <w:t>“ (ďalej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0C93AFA4"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realizovaný a financovaný v zmysle Národného programu Fondu pre vnútornú bezpečnosť</w:t>
      </w:r>
      <w:r w:rsidR="00841D1D">
        <w:rPr>
          <w:rFonts w:ascii="Arial Narrow" w:hAnsi="Arial Narrow" w:cs="Calibri"/>
          <w:sz w:val="22"/>
          <w:szCs w:val="22"/>
          <w:lang w:val="sk-SK"/>
        </w:rPr>
        <w:t xml:space="preserve">, kód </w:t>
      </w:r>
      <w:r w:rsidR="00841D1D" w:rsidRPr="00841D1D">
        <w:rPr>
          <w:rFonts w:ascii="Arial Narrow" w:hAnsi="Arial Narrow" w:cs="Calibri"/>
          <w:sz w:val="22"/>
          <w:szCs w:val="22"/>
          <w:lang w:val="sk-SK"/>
        </w:rPr>
        <w:t xml:space="preserve">projektu </w:t>
      </w:r>
      <w:r w:rsidR="00316A0E">
        <w:rPr>
          <w:rFonts w:ascii="Arial Narrow" w:hAnsi="Arial Narrow" w:cs="Calibri"/>
          <w:sz w:val="22"/>
          <w:szCs w:val="22"/>
          <w:lang w:val="sk-SK"/>
        </w:rPr>
        <w:t>........................</w:t>
      </w:r>
      <w:r w:rsidRPr="00151068">
        <w:rPr>
          <w:rFonts w:ascii="Arial Narrow" w:hAnsi="Arial Narrow" w:cs="Calibri"/>
          <w:sz w:val="22"/>
          <w:szCs w:val="22"/>
          <w:lang w:val="sk-SK"/>
        </w:rPr>
        <w:t xml:space="preserve"> </w:t>
      </w:r>
      <w:r w:rsidR="002F1991">
        <w:rPr>
          <w:rFonts w:ascii="Arial Narrow" w:hAnsi="Arial Narrow" w:cs="Calibri"/>
          <w:sz w:val="22"/>
          <w:szCs w:val="22"/>
          <w:lang w:val="sk-SK"/>
        </w:rPr>
        <w:t xml:space="preserve">a </w:t>
      </w:r>
      <w:r w:rsidRPr="00151068">
        <w:rPr>
          <w:rFonts w:ascii="Arial Narrow" w:hAnsi="Arial Narrow" w:cs="Calibri"/>
          <w:sz w:val="22"/>
          <w:szCs w:val="22"/>
          <w:lang w:val="sk-SK"/>
        </w:rPr>
        <w:t>zdrojov štátneho rozpočtu.</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782C80" w:rsidRDefault="00420BCA" w:rsidP="00B14F67">
      <w:pPr>
        <w:pStyle w:val="CTLhead"/>
        <w:rPr>
          <w:rFonts w:ascii="Arial Narrow" w:hAnsi="Arial Narrow" w:cs="Calibri"/>
          <w:color w:val="000000" w:themeColor="text1"/>
          <w:sz w:val="22"/>
          <w:szCs w:val="22"/>
        </w:rPr>
      </w:pPr>
    </w:p>
    <w:p w14:paraId="67E6F213" w14:textId="39E4917B" w:rsidR="00B75CB3" w:rsidRPr="003570AD" w:rsidRDefault="00A14B71"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00F40C89" w:rsidRPr="003570AD">
        <w:rPr>
          <w:rFonts w:ascii="Arial Narrow" w:hAnsi="Arial Narrow" w:cs="Calibri"/>
          <w:color w:val="000000" w:themeColor="text1"/>
          <w:sz w:val="22"/>
          <w:szCs w:val="22"/>
          <w:lang w:val="sk-SK"/>
        </w:rPr>
        <w:t xml:space="preserve">návrh </w:t>
      </w:r>
      <w:r w:rsidR="00F40C89" w:rsidRPr="003570AD">
        <w:rPr>
          <w:rFonts w:ascii="Arial Narrow" w:hAnsi="Arial Narrow" w:cs="Calibri"/>
          <w:color w:val="000000" w:themeColor="text1"/>
          <w:sz w:val="22"/>
          <w:szCs w:val="22"/>
        </w:rPr>
        <w:t>montážneho predpisu</w:t>
      </w:r>
      <w:r w:rsidRPr="003570AD">
        <w:rPr>
          <w:rFonts w:ascii="Arial Narrow" w:hAnsi="Arial Narrow" w:cs="Calibri"/>
          <w:color w:val="000000" w:themeColor="text1"/>
          <w:sz w:val="22"/>
          <w:szCs w:val="22"/>
        </w:rPr>
        <w:t xml:space="preserve"> označenia</w:t>
      </w:r>
      <w:r w:rsidR="00F40C89" w:rsidRPr="003570AD">
        <w:rPr>
          <w:rFonts w:ascii="Arial Narrow" w:hAnsi="Arial Narrow" w:cs="Calibri"/>
          <w:color w:val="000000" w:themeColor="text1"/>
          <w:sz w:val="22"/>
          <w:szCs w:val="22"/>
        </w:rPr>
        <w:t xml:space="preserve"> príslušnosti vozidla k Policajnému zboru SR </w:t>
      </w:r>
      <w:r w:rsidR="00F40C89" w:rsidRPr="003570AD">
        <w:rPr>
          <w:rFonts w:ascii="Arial Narrow" w:hAnsi="Arial Narrow" w:cs="Calibri"/>
          <w:color w:val="000000" w:themeColor="text1"/>
          <w:sz w:val="22"/>
          <w:szCs w:val="22"/>
          <w:lang w:val="sk-SK"/>
        </w:rPr>
        <w:t>(ďalej aj ako „</w:t>
      </w:r>
      <w:proofErr w:type="spellStart"/>
      <w:r w:rsidR="00F40C89" w:rsidRPr="003570AD">
        <w:rPr>
          <w:rFonts w:ascii="Arial Narrow" w:hAnsi="Arial Narrow" w:cs="Calibri"/>
          <w:color w:val="000000" w:themeColor="text1"/>
          <w:sz w:val="22"/>
          <w:szCs w:val="22"/>
          <w:lang w:val="sk-SK"/>
        </w:rPr>
        <w:t>dizajnmanuál</w:t>
      </w:r>
      <w:proofErr w:type="spellEnd"/>
      <w:r w:rsidR="00F40C89"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7362045E" w14:textId="7D98BF11" w:rsidR="00A14B71" w:rsidRPr="00B75CB3" w:rsidRDefault="00A14B71" w:rsidP="00B75CB3">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6CE26712" w14:textId="4F40DD51" w:rsidR="00351976" w:rsidRPr="006947FE" w:rsidRDefault="00351976"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00A14B71" w:rsidRPr="006947FE">
        <w:rPr>
          <w:rFonts w:ascii="Arial Narrow" w:hAnsi="Arial Narrow" w:cs="Calibri"/>
          <w:color w:val="000000" w:themeColor="text1"/>
          <w:sz w:val="22"/>
          <w:szCs w:val="22"/>
          <w:lang w:val="sk-SK"/>
        </w:rPr>
        <w:t xml:space="preserve">schváli alebo </w:t>
      </w:r>
      <w:r w:rsidR="00943B36" w:rsidRPr="006947FE">
        <w:rPr>
          <w:rFonts w:ascii="Arial Narrow" w:hAnsi="Arial Narrow" w:cs="Calibri"/>
          <w:color w:val="000000" w:themeColor="text1"/>
          <w:sz w:val="22"/>
          <w:szCs w:val="22"/>
          <w:lang w:val="sk-SK"/>
        </w:rPr>
        <w:t xml:space="preserve">s pripomienkami </w:t>
      </w:r>
      <w:r w:rsidR="00A14B71" w:rsidRPr="006947FE">
        <w:rPr>
          <w:rFonts w:ascii="Arial Narrow" w:hAnsi="Arial Narrow" w:cs="Calibri"/>
          <w:color w:val="000000" w:themeColor="text1"/>
          <w:sz w:val="22"/>
          <w:szCs w:val="22"/>
          <w:lang w:val="sk-SK"/>
        </w:rPr>
        <w:t xml:space="preserve">zamietne </w:t>
      </w:r>
      <w:proofErr w:type="spellStart"/>
      <w:r w:rsidR="00A14B71" w:rsidRPr="006947FE">
        <w:rPr>
          <w:rFonts w:ascii="Arial Narrow" w:hAnsi="Arial Narrow" w:cs="Calibri"/>
          <w:color w:val="000000" w:themeColor="text1"/>
          <w:sz w:val="22"/>
          <w:szCs w:val="22"/>
          <w:lang w:val="sk-SK"/>
        </w:rPr>
        <w:t>dizajnmanuál</w:t>
      </w:r>
      <w:proofErr w:type="spellEnd"/>
      <w:r w:rsidR="00A14B71"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2B70121D" w14:textId="77777777" w:rsidR="00B75CB3" w:rsidRPr="006947FE" w:rsidRDefault="00B75CB3" w:rsidP="00B75CB3">
      <w:pPr>
        <w:pStyle w:val="Odsekzoznamu"/>
        <w:rPr>
          <w:rFonts w:ascii="Arial Narrow" w:hAnsi="Arial Narrow" w:cs="Calibri"/>
          <w:color w:val="000000" w:themeColor="text1"/>
          <w:sz w:val="22"/>
          <w:szCs w:val="22"/>
        </w:rPr>
      </w:pPr>
    </w:p>
    <w:p w14:paraId="775B9417" w14:textId="48E3A9C8" w:rsidR="00B75CB3" w:rsidRPr="006947FE"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6947FE" w:rsidRDefault="003C36FD" w:rsidP="003C36FD">
      <w:pPr>
        <w:pStyle w:val="Odsekzoznamu"/>
        <w:rPr>
          <w:rFonts w:ascii="Arial Narrow" w:hAnsi="Arial Narrow" w:cs="Calibri"/>
          <w:color w:val="000000" w:themeColor="text1"/>
          <w:sz w:val="22"/>
          <w:szCs w:val="22"/>
        </w:rPr>
      </w:pPr>
    </w:p>
    <w:p w14:paraId="60F5479A" w14:textId="724006F7" w:rsidR="003C36FD" w:rsidRPr="006947FE"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5C0BA760"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 xml:space="preserve">v zmysle požiadaviek na </w:t>
      </w:r>
      <w:r>
        <w:rPr>
          <w:rFonts w:ascii="Arial Narrow" w:hAnsi="Arial Narrow" w:cs="Calibri"/>
          <w:sz w:val="22"/>
          <w:szCs w:val="22"/>
        </w:rPr>
        <w:t>zostav</w:t>
      </w:r>
      <w:r w:rsidR="006E6C27">
        <w:rPr>
          <w:rFonts w:ascii="Arial Narrow" w:hAnsi="Arial Narrow" w:cs="Calibri"/>
          <w:sz w:val="22"/>
          <w:szCs w:val="22"/>
        </w:rPr>
        <w:t>u</w:t>
      </w:r>
      <w:r>
        <w:rPr>
          <w:rFonts w:ascii="Arial Narrow" w:hAnsi="Arial Narrow" w:cs="Calibri"/>
          <w:sz w:val="22"/>
          <w:szCs w:val="22"/>
        </w:rPr>
        <w:t xml:space="preserve">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B9BF335" w14:textId="6F8D24CF" w:rsidR="009C2C46" w:rsidRPr="006E6C27"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1969FF76" w14:textId="64198418"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v zmysle požiadaviek na zostavu 2</w:t>
      </w:r>
      <w:r>
        <w:rPr>
          <w:rFonts w:ascii="Arial Narrow" w:hAnsi="Arial Narrow" w:cs="Calibri"/>
          <w:sz w:val="22"/>
          <w:szCs w:val="22"/>
        </w:rPr>
        <w:t xml:space="preserve">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6241B6B1" w14:textId="3DD7ECDB"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13377298"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890A4C" w:rsidRPr="006947FE">
        <w:rPr>
          <w:rFonts w:ascii="Arial Narrow" w:hAnsi="Arial Narrow" w:cs="Calibri"/>
          <w:i/>
          <w:sz w:val="22"/>
          <w:szCs w:val="22"/>
        </w:rPr>
        <w:t>1</w:t>
      </w:r>
      <w:r w:rsidR="006947FE" w:rsidRPr="006947FE">
        <w:rPr>
          <w:rFonts w:ascii="Arial Narrow" w:hAnsi="Arial Narrow" w:cs="Calibri"/>
          <w:i/>
          <w:sz w:val="22"/>
          <w:szCs w:val="22"/>
          <w:lang w:val="sk-SK"/>
        </w:rPr>
        <w:t>8</w:t>
      </w:r>
      <w:r w:rsidR="00890A4C" w:rsidRPr="006947FE">
        <w:rPr>
          <w:rFonts w:ascii="Arial Narrow" w:hAnsi="Arial Narrow" w:cs="Calibri"/>
          <w:i/>
          <w:sz w:val="22"/>
          <w:szCs w:val="22"/>
        </w:rPr>
        <w:t>0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443E1A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318E65D9"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4F5A0D43"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E509E5">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E509E5">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6208A8" w:rsidRPr="00CB20E1">
        <w:rPr>
          <w:rFonts w:ascii="Arial Narrow" w:hAnsi="Arial Narrow"/>
          <w:sz w:val="22"/>
          <w:szCs w:val="22"/>
        </w:rPr>
        <w:t>tridsať (</w:t>
      </w:r>
      <w:r w:rsidR="004819EC" w:rsidRPr="00CB20E1">
        <w:rPr>
          <w:rFonts w:ascii="Arial Narrow" w:hAnsi="Arial Narrow"/>
          <w:sz w:val="22"/>
          <w:szCs w:val="22"/>
        </w:rPr>
        <w:t>30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5749FFB2"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E509E5">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B9C48AA"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E509E5">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E509E5">
        <w:rPr>
          <w:rFonts w:ascii="Arial Narrow" w:hAnsi="Arial Narrow" w:cs="Calibri"/>
          <w:sz w:val="22"/>
          <w:szCs w:val="22"/>
        </w:rPr>
        <w:t>4.5</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celého</w:t>
      </w:r>
      <w:r w:rsidR="008808C4" w:rsidRPr="008D6DA3">
        <w:rPr>
          <w:rFonts w:ascii="Arial Narrow" w:hAnsi="Arial Narrow" w:cs="Calibri"/>
          <w:sz w:val="22"/>
          <w:szCs w:val="22"/>
        </w:rPr>
        <w:t xml:space="preserve"> </w:t>
      </w:r>
      <w:r w:rsidRPr="008D6DA3">
        <w:rPr>
          <w:rFonts w:ascii="Arial Narrow" w:hAnsi="Arial Narrow" w:cs="Calibri"/>
          <w:sz w:val="22"/>
          <w:szCs w:val="22"/>
        </w:rPr>
        <w:t>predmet</w:t>
      </w:r>
      <w:r w:rsidR="0077096A" w:rsidRPr="008D6DA3">
        <w:rPr>
          <w:rFonts w:ascii="Arial Narrow" w:hAnsi="Arial Narrow" w:cs="Calibri"/>
          <w:sz w:val="22"/>
          <w:szCs w:val="22"/>
        </w:rPr>
        <w:t>u zmluvy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55D5C27D"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E509E5">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13C286E3"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682A61" w:rsidRPr="008D6DA3">
        <w:rPr>
          <w:rFonts w:ascii="Arial Narrow" w:hAnsi="Arial Narrow" w:cs="Calibri"/>
          <w:sz w:val="22"/>
          <w:szCs w:val="22"/>
        </w:rPr>
        <w:t>štyri</w:t>
      </w:r>
      <w:r w:rsidR="00DA7BC4" w:rsidRPr="008D6DA3">
        <w:rPr>
          <w:rFonts w:ascii="Arial Narrow" w:hAnsi="Arial Narrow" w:cs="Calibri"/>
          <w:sz w:val="22"/>
          <w:szCs w:val="22"/>
        </w:rPr>
        <w:t xml:space="preserve"> (</w:t>
      </w:r>
      <w:r w:rsidR="00682A61" w:rsidRPr="008D6DA3">
        <w:rPr>
          <w:rFonts w:ascii="Arial Narrow" w:hAnsi="Arial Narrow" w:cs="Calibri"/>
          <w:sz w:val="22"/>
          <w:szCs w:val="22"/>
        </w:rPr>
        <w:t>4</w:t>
      </w:r>
      <w:r w:rsidR="00DA7BC4" w:rsidRPr="008D6DA3">
        <w:rPr>
          <w:rFonts w:ascii="Arial Narrow" w:hAnsi="Arial Narrow" w:cs="Calibri"/>
          <w:sz w:val="22"/>
          <w:szCs w:val="22"/>
        </w:rPr>
        <w:t>)</w:t>
      </w:r>
      <w:r w:rsidRPr="008D6DA3">
        <w:rPr>
          <w:rFonts w:ascii="Arial Narrow" w:hAnsi="Arial Narrow" w:cs="Calibri"/>
          <w:sz w:val="22"/>
          <w:szCs w:val="22"/>
        </w:rPr>
        <w:t xml:space="preserve"> týždne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54B9D678"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E509E5">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E509E5">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lastRenderedPageBreak/>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658AAA"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podľa </w:t>
      </w:r>
      <w:hyperlink r:id="rId9" w:anchor="paragraf-32.odsek-1.pismeno-a" w:tooltip="Odkaz na predpis alebo ustanovenie" w:history="1">
        <w:r w:rsidRPr="008D6DA3">
          <w:rPr>
            <w:rFonts w:cs="Calibri"/>
            <w:color w:val="5B9BD5" w:themeColor="accent1"/>
          </w:rPr>
          <w:t>§ 32 ods. 1 písm. a)</w:t>
        </w:r>
      </w:hyperlink>
      <w:r w:rsidRPr="008D6DA3">
        <w:rPr>
          <w:rFonts w:ascii="Arial Narrow" w:hAnsi="Arial Narrow" w:cs="Calibri"/>
          <w:color w:val="5B9BD5" w:themeColor="accent1"/>
          <w:sz w:val="22"/>
          <w:szCs w:val="22"/>
        </w:rPr>
        <w:t xml:space="preserve"> </w:t>
      </w:r>
      <w:r w:rsidRPr="008D6DA3">
        <w:rPr>
          <w:rFonts w:ascii="Arial Narrow" w:hAnsi="Arial Narrow" w:cs="Calibri"/>
          <w:sz w:val="22"/>
          <w:szCs w:val="22"/>
        </w:rPr>
        <w:t xml:space="preserve">zákona o verejnom obstarávaní, </w:t>
      </w:r>
    </w:p>
    <w:p w14:paraId="2BB38BD8" w14:textId="2010DCE5"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Predávajúcim v súvislosti so závažným porušením povinnosti vyplývajúcej z právne záväzného aktu Európskej únie,</w:t>
      </w:r>
      <w:hyperlink r:id="rId10" w:anchor="poznamky.poznamka-40" w:tooltip="Odkaz na predpis alebo ustanovenie" w:history="1">
        <w:r w:rsidRPr="008D6DA3">
          <w:rPr>
            <w:rFonts w:cs="Calibri"/>
          </w:rPr>
          <w:t>40)</w:t>
        </w:r>
      </w:hyperlink>
      <w:r w:rsidRPr="008D6DA3">
        <w:rPr>
          <w:rFonts w:ascii="Arial Narrow" w:hAnsi="Arial Narrow" w:cs="Calibri"/>
          <w:sz w:val="22"/>
          <w:szCs w:val="22"/>
        </w:rPr>
        <w:t xml:space="preserve"> o ktorom rozhodol Súdny dvor Európskej únie v súlade so Zmluvou o fungovaní Európskej únie,</w:t>
      </w:r>
      <w:hyperlink r:id="rId11" w:anchor="poznamky.poznamka-41" w:tooltip="Odkaz na predpis alebo ustanovenie" w:history="1">
        <w:r w:rsidRPr="008D6DA3">
          <w:rPr>
            <w:rFonts w:cs="Calibri"/>
          </w:rPr>
          <w:t>41)</w:t>
        </w:r>
      </w:hyperlink>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28770814"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ak Predávajúci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092A77B9" w14:textId="469556E3" w:rsidR="006255F5" w:rsidRPr="001B3EFB" w:rsidRDefault="006255F5" w:rsidP="00DF41BC">
      <w:pPr>
        <w:jc w:val="both"/>
        <w:rPr>
          <w:color w:val="FF0000"/>
        </w:rPr>
      </w:pPr>
      <w:r w:rsidRPr="00731AA5">
        <w:rPr>
          <w:color w:val="FF0000"/>
        </w:rPr>
        <w:t>Obsah</w:t>
      </w:r>
      <w:r w:rsidR="008C2D2E">
        <w:rPr>
          <w:color w:val="FF0000"/>
        </w:rPr>
        <w:t>om</w:t>
      </w:r>
      <w:r w:rsidRPr="00731AA5">
        <w:rPr>
          <w:color w:val="FF0000"/>
        </w:rPr>
        <w:t xml:space="preserve"> tejto prílohy </w:t>
      </w:r>
      <w:r w:rsidR="008C2D2E">
        <w:rPr>
          <w:color w:val="FF0000"/>
        </w:rPr>
        <w:t xml:space="preserve">sú </w:t>
      </w:r>
      <w:r w:rsidRPr="00731AA5">
        <w:rPr>
          <w:color w:val="FF0000"/>
        </w:rPr>
        <w:t>hárk</w:t>
      </w:r>
      <w:r w:rsidR="008C2D2E">
        <w:rPr>
          <w:color w:val="FF0000"/>
        </w:rPr>
        <w:t>y</w:t>
      </w:r>
      <w:r w:rsidRPr="00731AA5">
        <w:rPr>
          <w:color w:val="FF0000"/>
        </w:rPr>
        <w:t xml:space="preserve"> </w:t>
      </w:r>
      <w:r w:rsidR="003F7DC0">
        <w:rPr>
          <w:color w:val="FF0000"/>
        </w:rPr>
        <w:t xml:space="preserve">všetky hárky </w:t>
      </w:r>
      <w:r w:rsidR="001B3EFB">
        <w:rPr>
          <w:color w:val="FF0000"/>
        </w:rPr>
        <w:t>prílohy č. 1 súťažných podkladov</w:t>
      </w:r>
      <w:r w:rsidRPr="00731AA5">
        <w:rPr>
          <w:color w:val="FF0000"/>
        </w:rPr>
        <w:t>, riadne vyplnen</w:t>
      </w:r>
      <w:r w:rsidR="001B3EFB">
        <w:rPr>
          <w:color w:val="FF0000"/>
        </w:rPr>
        <w:t>é</w:t>
      </w:r>
      <w:r w:rsidRPr="00731AA5">
        <w:rPr>
          <w:color w:val="FF0000"/>
        </w:rPr>
        <w:t xml:space="preserve"> a predložen</w:t>
      </w:r>
      <w:r w:rsidR="001B3EFB">
        <w:rPr>
          <w:color w:val="FF0000"/>
        </w:rPr>
        <w:t>é</w:t>
      </w:r>
      <w:r w:rsidRPr="00731AA5">
        <w:rPr>
          <w:color w:val="FF0000"/>
        </w:rPr>
        <w:t xml:space="preserve"> v ponuke úspešného uchádzača</w:t>
      </w:r>
      <w:r w:rsidR="003F7DC0">
        <w:rPr>
          <w:color w:val="FF0000"/>
        </w:rPr>
        <w:t>, okrem hárku „štruktúrovaný rozpočet“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51B206B1" w14:textId="35B7A7B1" w:rsidR="00731AA5" w:rsidRDefault="00731AA5" w:rsidP="00DF41BC">
      <w:pPr>
        <w:jc w:val="both"/>
        <w:rPr>
          <w:rFonts w:ascii="Arial Narrow" w:hAnsi="Arial Narrow"/>
          <w:b/>
          <w:bCs/>
          <w:sz w:val="22"/>
          <w:szCs w:val="22"/>
        </w:rPr>
      </w:pPr>
    </w:p>
    <w:p w14:paraId="7185F9FE" w14:textId="0B6B9AE0" w:rsidR="006F1FFE" w:rsidRPr="003F7DC0" w:rsidRDefault="00731AA5" w:rsidP="003F7DC0">
      <w:pPr>
        <w:jc w:val="both"/>
        <w:rPr>
          <w:rFonts w:ascii="Arial Narrow" w:hAnsi="Arial Narrow"/>
          <w:color w:val="FF0000"/>
          <w:sz w:val="22"/>
          <w:szCs w:val="22"/>
        </w:rPr>
      </w:pPr>
      <w:r w:rsidRPr="00731AA5">
        <w:rPr>
          <w:rFonts w:ascii="Arial Narrow" w:hAnsi="Arial Narrow"/>
          <w:color w:val="FF0000"/>
          <w:sz w:val="22"/>
          <w:szCs w:val="22"/>
        </w:rPr>
        <w:t>Obsahom tejto prílohy zmluvy je</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 xml:space="preserve">k „štruktúrovaný rozpočet“ v prílohe č. 1 </w:t>
      </w:r>
      <w:r w:rsidR="009A3A5E" w:rsidRPr="003F7DC0">
        <w:rPr>
          <w:rFonts w:ascii="Arial Narrow" w:hAnsi="Arial Narrow"/>
          <w:color w:val="FF0000"/>
          <w:sz w:val="22"/>
          <w:szCs w:val="22"/>
        </w:rPr>
        <w:t xml:space="preserve">súťažných podkladov </w:t>
      </w:r>
      <w:r w:rsidRPr="003F7DC0">
        <w:rPr>
          <w:rFonts w:ascii="Arial Narrow" w:hAnsi="Arial Narrow"/>
          <w:color w:val="FF0000"/>
          <w:sz w:val="22"/>
          <w:szCs w:val="22"/>
        </w:rPr>
        <w:t>vyplnený podľa ponuky úspešného uchádzača</w:t>
      </w: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933427" w:rsidRPr="00145EDC" w14:paraId="35AD922A" w14:textId="491FC9AC" w:rsidTr="00933427">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33427" w:rsidRPr="00145EDC" w:rsidRDefault="00933427"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33427" w:rsidRPr="00145EDC" w:rsidRDefault="00933427"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33427" w:rsidRPr="00145EDC" w:rsidRDefault="00933427"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33427" w:rsidRPr="00145EDC" w:rsidRDefault="00933427"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tcPr>
          <w:p w14:paraId="6388A1A6" w14:textId="4313A7CD" w:rsidR="00933427" w:rsidRPr="0025281F" w:rsidRDefault="00933427"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933427" w:rsidRPr="00145EDC" w14:paraId="33F29B47" w14:textId="0BAE592A" w:rsidTr="00933427">
        <w:trPr>
          <w:trHeight w:val="578"/>
        </w:trPr>
        <w:tc>
          <w:tcPr>
            <w:tcW w:w="1717" w:type="dxa"/>
            <w:tcBorders>
              <w:top w:val="single" w:sz="6" w:space="0" w:color="A6A6A6" w:themeColor="background1" w:themeShade="A6"/>
            </w:tcBorders>
            <w:shd w:val="clear" w:color="auto" w:fill="auto"/>
            <w:vAlign w:val="center"/>
          </w:tcPr>
          <w:p w14:paraId="5ECD1BD7" w14:textId="70988645" w:rsidR="00933427" w:rsidRPr="00145EDC" w:rsidRDefault="00933427"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7DB1E4FD" w14:textId="2663F9BB" w:rsidR="00933427" w:rsidRPr="00145EDC" w:rsidRDefault="00933427"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2CAAAE9B" w14:textId="64704DBA" w:rsidR="00933427" w:rsidRPr="00145EDC" w:rsidRDefault="00933427"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2AF92AFB" w14:textId="4C62D9CD" w:rsidR="00933427" w:rsidRPr="00145EDC" w:rsidRDefault="00933427"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3A9F5D66" w14:textId="77777777" w:rsidR="00933427" w:rsidRPr="00145EDC" w:rsidRDefault="00933427"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headerReference w:type="first" r:id="rId12"/>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FF81" w14:textId="77777777" w:rsidR="00611495" w:rsidRDefault="00611495" w:rsidP="006E6235">
      <w:r>
        <w:separator/>
      </w:r>
    </w:p>
  </w:endnote>
  <w:endnote w:type="continuationSeparator" w:id="0">
    <w:p w14:paraId="4749854F" w14:textId="77777777" w:rsidR="00611495" w:rsidRDefault="0061149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07E0" w14:textId="77777777" w:rsidR="00611495" w:rsidRDefault="00611495" w:rsidP="006E6235">
      <w:r>
        <w:separator/>
      </w:r>
    </w:p>
  </w:footnote>
  <w:footnote w:type="continuationSeparator" w:id="0">
    <w:p w14:paraId="7EA96FB8" w14:textId="77777777" w:rsidR="00611495" w:rsidRDefault="0061149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0160AE29" w:rsidR="00F81CEC"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xml:space="preserve">. 2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p>
  <w:p w14:paraId="1C1907EB" w14:textId="0B702F07" w:rsidR="00F81CEC" w:rsidRPr="003453C3" w:rsidRDefault="007D3B0E" w:rsidP="00F81CEC">
    <w:pPr>
      <w:spacing w:before="60"/>
      <w:rPr>
        <w:rFonts w:ascii="Arial Narrow" w:hAnsi="Arial Narrow"/>
        <w:i/>
        <w:iCs/>
        <w:sz w:val="22"/>
        <w:szCs w:val="22"/>
      </w:rPr>
    </w:pPr>
    <w:r w:rsidRPr="007D3B0E">
      <w:rPr>
        <w:rFonts w:ascii="Arial Narrow" w:hAnsi="Arial Narrow"/>
        <w:i/>
        <w:iCs/>
        <w:sz w:val="22"/>
        <w:szCs w:val="22"/>
      </w:rPr>
      <w:t>Terénny ú</w:t>
    </w:r>
    <w:r w:rsidRPr="007D3B0E">
      <w:rPr>
        <w:rFonts w:cs="Arial"/>
        <w:i/>
        <w:iCs/>
        <w:sz w:val="22"/>
        <w:szCs w:val="22"/>
      </w:rPr>
      <w:t>ž</w:t>
    </w:r>
    <w:r w:rsidRPr="007D3B0E">
      <w:rPr>
        <w:rFonts w:ascii="Arial Narrow" w:hAnsi="Arial Narrow"/>
        <w:i/>
        <w:iCs/>
        <w:sz w:val="22"/>
        <w:szCs w:val="22"/>
      </w:rPr>
      <w:t>itkový automobil - Pick-up pre ÚHCP</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2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0"/>
  </w:num>
  <w:num w:numId="5">
    <w:abstractNumId w:val="41"/>
  </w:num>
  <w:num w:numId="6">
    <w:abstractNumId w:val="6"/>
  </w:num>
  <w:num w:numId="7">
    <w:abstractNumId w:val="19"/>
  </w:num>
  <w:num w:numId="8">
    <w:abstractNumId w:val="30"/>
  </w:num>
  <w:num w:numId="9">
    <w:abstractNumId w:val="37"/>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4"/>
  </w:num>
  <w:num w:numId="26">
    <w:abstractNumId w:val="5"/>
  </w:num>
  <w:num w:numId="27">
    <w:abstractNumId w:val="39"/>
  </w:num>
  <w:num w:numId="28">
    <w:abstractNumId w:val="44"/>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9"/>
  </w:num>
  <w:num w:numId="39">
    <w:abstractNumId w:val="32"/>
  </w:num>
  <w:num w:numId="40">
    <w:abstractNumId w:val="42"/>
  </w:num>
  <w:num w:numId="41">
    <w:abstractNumId w:val="3"/>
  </w:num>
  <w:num w:numId="42">
    <w:abstractNumId w:val="16"/>
  </w:num>
  <w:num w:numId="43">
    <w:abstractNumId w:val="27"/>
  </w:num>
  <w:num w:numId="44">
    <w:abstractNumId w:val="28"/>
    <w:lvlOverride w:ilvl="0">
      <w:startOverride w:val="1"/>
    </w:lvlOverride>
  </w:num>
  <w:num w:numId="45">
    <w:abstractNumId w:val="43"/>
  </w:num>
  <w:num w:numId="46">
    <w:abstractNumId w:val="3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8"/>
  </w:num>
  <w:num w:numId="63">
    <w:abstractNumId w:val="21"/>
  </w:num>
  <w:num w:numId="64">
    <w:abstractNumId w:val="36"/>
  </w:num>
  <w:num w:numId="65">
    <w:abstractNumId w:val="12"/>
  </w:num>
  <w:num w:numId="66">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A644D"/>
    <w:rsid w:val="000B3AA8"/>
    <w:rsid w:val="000C76B1"/>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D6378"/>
    <w:rsid w:val="001E1F67"/>
    <w:rsid w:val="001E6CF6"/>
    <w:rsid w:val="001F49E2"/>
    <w:rsid w:val="0023320D"/>
    <w:rsid w:val="00241249"/>
    <w:rsid w:val="002453CD"/>
    <w:rsid w:val="0025281F"/>
    <w:rsid w:val="002537BD"/>
    <w:rsid w:val="00253854"/>
    <w:rsid w:val="00254201"/>
    <w:rsid w:val="002761BF"/>
    <w:rsid w:val="00287E51"/>
    <w:rsid w:val="00291C1B"/>
    <w:rsid w:val="002A05ED"/>
    <w:rsid w:val="002B3C9A"/>
    <w:rsid w:val="002C061E"/>
    <w:rsid w:val="002C06E7"/>
    <w:rsid w:val="002C3622"/>
    <w:rsid w:val="002E2C9D"/>
    <w:rsid w:val="002F05A6"/>
    <w:rsid w:val="002F1991"/>
    <w:rsid w:val="003148C1"/>
    <w:rsid w:val="00316A0E"/>
    <w:rsid w:val="00324D3B"/>
    <w:rsid w:val="00333F00"/>
    <w:rsid w:val="00336CF3"/>
    <w:rsid w:val="0034246B"/>
    <w:rsid w:val="003453C3"/>
    <w:rsid w:val="00345934"/>
    <w:rsid w:val="00351976"/>
    <w:rsid w:val="003570AD"/>
    <w:rsid w:val="00363671"/>
    <w:rsid w:val="00363E6B"/>
    <w:rsid w:val="003702BA"/>
    <w:rsid w:val="00386FA2"/>
    <w:rsid w:val="0039540F"/>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C03FC"/>
    <w:rsid w:val="005C47AE"/>
    <w:rsid w:val="005C71F8"/>
    <w:rsid w:val="005D2300"/>
    <w:rsid w:val="005E3770"/>
    <w:rsid w:val="005F0DEE"/>
    <w:rsid w:val="00600EFA"/>
    <w:rsid w:val="00601A81"/>
    <w:rsid w:val="00602CC2"/>
    <w:rsid w:val="006056F6"/>
    <w:rsid w:val="00607EF7"/>
    <w:rsid w:val="00611495"/>
    <w:rsid w:val="00613A8C"/>
    <w:rsid w:val="006208A8"/>
    <w:rsid w:val="00621B8E"/>
    <w:rsid w:val="006255F5"/>
    <w:rsid w:val="00632CDF"/>
    <w:rsid w:val="00641960"/>
    <w:rsid w:val="006459FE"/>
    <w:rsid w:val="00652816"/>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625FF"/>
    <w:rsid w:val="0077096A"/>
    <w:rsid w:val="00782C80"/>
    <w:rsid w:val="0078620C"/>
    <w:rsid w:val="007A7764"/>
    <w:rsid w:val="007B256C"/>
    <w:rsid w:val="007B453C"/>
    <w:rsid w:val="007C7F2F"/>
    <w:rsid w:val="007D3B0E"/>
    <w:rsid w:val="007E2863"/>
    <w:rsid w:val="007F32BF"/>
    <w:rsid w:val="007F3C88"/>
    <w:rsid w:val="00802E5F"/>
    <w:rsid w:val="00806588"/>
    <w:rsid w:val="00813854"/>
    <w:rsid w:val="00841D1D"/>
    <w:rsid w:val="008453DC"/>
    <w:rsid w:val="00866950"/>
    <w:rsid w:val="008808C4"/>
    <w:rsid w:val="0088772B"/>
    <w:rsid w:val="00890A4C"/>
    <w:rsid w:val="008A1895"/>
    <w:rsid w:val="008A1A7F"/>
    <w:rsid w:val="008A2A3D"/>
    <w:rsid w:val="008A3759"/>
    <w:rsid w:val="008B250C"/>
    <w:rsid w:val="008B4313"/>
    <w:rsid w:val="008C05DA"/>
    <w:rsid w:val="008C2D2E"/>
    <w:rsid w:val="008C420E"/>
    <w:rsid w:val="008C46BC"/>
    <w:rsid w:val="008D6DA3"/>
    <w:rsid w:val="008E1AA4"/>
    <w:rsid w:val="008E5017"/>
    <w:rsid w:val="00901F21"/>
    <w:rsid w:val="00911C47"/>
    <w:rsid w:val="00913D7F"/>
    <w:rsid w:val="0091435F"/>
    <w:rsid w:val="0092116C"/>
    <w:rsid w:val="00930F80"/>
    <w:rsid w:val="00933427"/>
    <w:rsid w:val="0093591E"/>
    <w:rsid w:val="00943B36"/>
    <w:rsid w:val="00945EA5"/>
    <w:rsid w:val="00952D26"/>
    <w:rsid w:val="00964845"/>
    <w:rsid w:val="00965CFF"/>
    <w:rsid w:val="00970C2D"/>
    <w:rsid w:val="00970F25"/>
    <w:rsid w:val="00973437"/>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4509D"/>
    <w:rsid w:val="00A500AC"/>
    <w:rsid w:val="00A501F7"/>
    <w:rsid w:val="00A74637"/>
    <w:rsid w:val="00A76A53"/>
    <w:rsid w:val="00A82F42"/>
    <w:rsid w:val="00A85E67"/>
    <w:rsid w:val="00AA5611"/>
    <w:rsid w:val="00AB14FF"/>
    <w:rsid w:val="00AC67C2"/>
    <w:rsid w:val="00AD44DF"/>
    <w:rsid w:val="00AF484D"/>
    <w:rsid w:val="00B104DE"/>
    <w:rsid w:val="00B11451"/>
    <w:rsid w:val="00B14F67"/>
    <w:rsid w:val="00B1508F"/>
    <w:rsid w:val="00B24B4B"/>
    <w:rsid w:val="00B54A5E"/>
    <w:rsid w:val="00B55930"/>
    <w:rsid w:val="00B56FEB"/>
    <w:rsid w:val="00B60143"/>
    <w:rsid w:val="00B70904"/>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23DB"/>
    <w:rsid w:val="00C1403F"/>
    <w:rsid w:val="00C55A4B"/>
    <w:rsid w:val="00C57976"/>
    <w:rsid w:val="00C61439"/>
    <w:rsid w:val="00C84572"/>
    <w:rsid w:val="00C85957"/>
    <w:rsid w:val="00C85E2F"/>
    <w:rsid w:val="00CA1ED4"/>
    <w:rsid w:val="00CB20E1"/>
    <w:rsid w:val="00CD4DAA"/>
    <w:rsid w:val="00CE13E9"/>
    <w:rsid w:val="00CE72F3"/>
    <w:rsid w:val="00CF01CF"/>
    <w:rsid w:val="00CF31F2"/>
    <w:rsid w:val="00D30A5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12DE"/>
    <w:rsid w:val="00DB27EC"/>
    <w:rsid w:val="00DB3033"/>
    <w:rsid w:val="00DB4DE5"/>
    <w:rsid w:val="00DB4E19"/>
    <w:rsid w:val="00DD5314"/>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70F9D"/>
    <w:rsid w:val="00E7246A"/>
    <w:rsid w:val="00E8197F"/>
    <w:rsid w:val="00EA1188"/>
    <w:rsid w:val="00ED72DF"/>
    <w:rsid w:val="00EF0B84"/>
    <w:rsid w:val="00EF7463"/>
    <w:rsid w:val="00F0274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932FD"/>
    <w:rsid w:val="00FA2188"/>
    <w:rsid w:val="00FA2A04"/>
    <w:rsid w:val="00FA370F"/>
    <w:rsid w:val="00FA554E"/>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 TargetMode="External"/><Relationship Id="rId5" Type="http://schemas.openxmlformats.org/officeDocument/2006/relationships/webSettings" Target="webSettings.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11</Pages>
  <Words>3676</Words>
  <Characters>20959</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97</cp:revision>
  <cp:lastPrinted>2020-09-23T13:30:00Z</cp:lastPrinted>
  <dcterms:created xsi:type="dcterms:W3CDTF">2020-10-26T09:25:00Z</dcterms:created>
  <dcterms:modified xsi:type="dcterms:W3CDTF">2022-03-17T09:48:00Z</dcterms:modified>
</cp:coreProperties>
</file>