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Pr>
          <w:rFonts w:ascii="Arial Narrow" w:hAnsi="Arial Narrow"/>
          <w:b/>
          <w:bCs/>
          <w:sz w:val="22"/>
          <w:szCs w:val="22"/>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7777777"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B059DE">
        <w:rPr>
          <w:rFonts w:ascii="Arial Narrow" w:hAnsi="Arial Narrow"/>
          <w:b/>
          <w:bCs/>
          <w:sz w:val="22"/>
          <w:szCs w:val="22"/>
        </w:rPr>
        <w:t>SE-</w:t>
      </w:r>
      <w:r w:rsidRPr="00B059DE">
        <w:rPr>
          <w:rFonts w:ascii="Arial Narrow" w:hAnsi="Arial Narrow"/>
          <w:b/>
          <w:bCs/>
          <w:sz w:val="22"/>
          <w:szCs w:val="22"/>
        </w:rPr>
        <w:t>VO1-</w:t>
      </w:r>
      <w:r w:rsidR="007F5934" w:rsidRPr="00B059DE">
        <w:rPr>
          <w:rFonts w:ascii="Arial Narrow" w:hAnsi="Arial Narrow"/>
          <w:b/>
          <w:bCs/>
          <w:sz w:val="22"/>
          <w:szCs w:val="22"/>
        </w:rPr>
        <w:t>202</w:t>
      </w:r>
      <w:r w:rsidR="00FE074F">
        <w:rPr>
          <w:rFonts w:ascii="Arial Narrow" w:hAnsi="Arial Narrow"/>
          <w:b/>
          <w:bCs/>
          <w:sz w:val="22"/>
          <w:szCs w:val="22"/>
        </w:rPr>
        <w:t>2</w:t>
      </w:r>
      <w:r w:rsidR="007F5934" w:rsidRPr="00B059DE">
        <w:rPr>
          <w:rFonts w:ascii="Arial Narrow" w:hAnsi="Arial Narrow"/>
          <w:b/>
          <w:bCs/>
          <w:sz w:val="22"/>
          <w:szCs w:val="22"/>
        </w:rPr>
        <w:t>/</w:t>
      </w:r>
      <w:r w:rsidR="00B059DE" w:rsidRPr="00B059DE">
        <w:rPr>
          <w:rFonts w:ascii="Arial Narrow" w:hAnsi="Arial Narrow"/>
          <w:b/>
          <w:bCs/>
          <w:sz w:val="22"/>
          <w:szCs w:val="22"/>
        </w:rPr>
        <w:t>00</w:t>
      </w:r>
      <w:r w:rsidR="00FE074F">
        <w:rPr>
          <w:rFonts w:ascii="Arial Narrow" w:hAnsi="Arial Narrow"/>
          <w:b/>
          <w:bCs/>
          <w:sz w:val="22"/>
          <w:szCs w:val="22"/>
        </w:rPr>
        <w:t>2118</w:t>
      </w:r>
      <w:r w:rsidR="00B059DE" w:rsidRPr="00B059DE">
        <w:rPr>
          <w:rFonts w:ascii="Arial Narrow" w:hAnsi="Arial Narrow"/>
          <w:b/>
          <w:bCs/>
          <w:sz w:val="22"/>
          <w:szCs w:val="22"/>
        </w:rPr>
        <w:t>-xx</w:t>
      </w:r>
      <w:r w:rsidR="00FE074F">
        <w:rPr>
          <w:rFonts w:ascii="Arial Narrow" w:hAnsi="Arial Narrow"/>
          <w:b/>
          <w:bCs/>
          <w:sz w:val="22"/>
          <w:szCs w:val="22"/>
        </w:rPr>
        <w:t>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7777777"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republiky</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p>
    <w:p w14:paraId="61F6F7CD" w14:textId="77777777" w:rsidR="00E93BD0" w:rsidRPr="0022576E" w:rsidRDefault="00BA3F7F" w:rsidP="0003302D">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r w:rsidR="0003302D">
        <w:rPr>
          <w:rFonts w:ascii="Arial Narrow" w:hAnsi="Arial Narrow"/>
          <w:sz w:val="22"/>
          <w:szCs w:val="22"/>
        </w:rPr>
        <w:t xml:space="preserve"> </w:t>
      </w:r>
      <w:r w:rsidR="00E93BD0">
        <w:rPr>
          <w:rFonts w:ascii="Arial Narrow" w:hAnsi="Arial Narrow"/>
          <w:sz w:val="22"/>
          <w:szCs w:val="22"/>
        </w:rPr>
        <w:t>n</w:t>
      </w:r>
      <w:r w:rsidR="00E93BD0" w:rsidRPr="0022576E">
        <w:rPr>
          <w:rFonts w:ascii="Arial Narrow" w:hAnsi="Arial Narrow"/>
          <w:sz w:val="22"/>
          <w:szCs w:val="22"/>
        </w:rPr>
        <w:t xml:space="preserve">a základe plnej moci </w:t>
      </w:r>
      <w:proofErr w:type="spellStart"/>
      <w:r w:rsidR="00E93BD0" w:rsidRPr="0022576E">
        <w:rPr>
          <w:rFonts w:ascii="Arial Narrow" w:hAnsi="Arial Narrow"/>
          <w:sz w:val="22"/>
          <w:szCs w:val="22"/>
        </w:rPr>
        <w:t>č.p</w:t>
      </w:r>
      <w:proofErr w:type="spellEnd"/>
      <w:r w:rsidR="00E93BD0" w:rsidRPr="0022576E">
        <w:rPr>
          <w:rFonts w:ascii="Arial Narrow" w:hAnsi="Arial Narrow"/>
          <w:sz w:val="22"/>
          <w:szCs w:val="22"/>
        </w:rPr>
        <w:t xml:space="preserve">: </w:t>
      </w:r>
      <w:r w:rsidR="00E93BD0">
        <w:rPr>
          <w:rFonts w:ascii="Arial Narrow" w:hAnsi="Arial Narrow"/>
          <w:sz w:val="22"/>
          <w:szCs w:val="22"/>
        </w:rPr>
        <w:t>SL-OPS-2021</w:t>
      </w:r>
      <w:r w:rsidR="00E93BD0" w:rsidRPr="0022576E">
        <w:rPr>
          <w:rFonts w:ascii="Arial Narrow" w:hAnsi="Arial Narrow"/>
          <w:sz w:val="22"/>
          <w:szCs w:val="22"/>
        </w:rPr>
        <w:t>/00</w:t>
      </w:r>
      <w:r w:rsidR="00E93BD0">
        <w:rPr>
          <w:rFonts w:ascii="Arial Narrow" w:hAnsi="Arial Narrow"/>
          <w:sz w:val="22"/>
          <w:szCs w:val="22"/>
        </w:rPr>
        <w:t>1914-079</w:t>
      </w:r>
      <w:r w:rsidR="00E93BD0" w:rsidRPr="0022576E">
        <w:rPr>
          <w:rFonts w:ascii="Arial Narrow" w:hAnsi="Arial Narrow"/>
          <w:sz w:val="22"/>
          <w:szCs w:val="22"/>
        </w:rPr>
        <w:t xml:space="preserve"> zo dňa </w:t>
      </w:r>
      <w:r w:rsidR="00E93BD0">
        <w:rPr>
          <w:rFonts w:ascii="Arial Narrow" w:hAnsi="Arial Narrow"/>
          <w:sz w:val="22"/>
          <w:szCs w:val="22"/>
        </w:rPr>
        <w:t>07.04.</w:t>
      </w:r>
      <w:r w:rsidR="00E93BD0" w:rsidRPr="0022576E">
        <w:rPr>
          <w:rFonts w:ascii="Arial Narrow" w:hAnsi="Arial Narrow"/>
          <w:sz w:val="22"/>
          <w:szCs w:val="22"/>
        </w:rPr>
        <w:t>20</w:t>
      </w:r>
      <w:r w:rsidR="00E93BD0">
        <w:rPr>
          <w:rFonts w:ascii="Arial Narrow" w:hAnsi="Arial Narrow"/>
          <w:sz w:val="22"/>
          <w:szCs w:val="22"/>
        </w:rPr>
        <w:t>21</w:t>
      </w: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77777777" w:rsidR="00EB3EFA" w:rsidRDefault="00EB3EFA">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303BF4">
      <w:pPr>
        <w:numPr>
          <w:ilvl w:val="0"/>
          <w:numId w:val="49"/>
        </w:numPr>
        <w:tabs>
          <w:tab w:val="clear" w:pos="796"/>
          <w:tab w:val="clear" w:pos="2160"/>
          <w:tab w:val="clear" w:pos="2880"/>
          <w:tab w:val="clear" w:pos="4500"/>
          <w:tab w:val="left" w:pos="567"/>
          <w:tab w:val="left" w:pos="720"/>
        </w:tabs>
        <w:ind w:left="284"/>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XX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w:t>
      </w:r>
      <w:r>
        <w:rPr>
          <w:rFonts w:ascii="Arial Narrow" w:hAnsi="Arial Narrow"/>
          <w:sz w:val="22"/>
          <w:szCs w:val="22"/>
        </w:rPr>
        <w:lastRenderedPageBreak/>
        <w:t xml:space="preserve">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4A185BC4" w14:textId="77777777" w:rsidR="00EB3EFA" w:rsidRDefault="005D32B3" w:rsidP="00303BF4">
      <w:pPr>
        <w:numPr>
          <w:ilvl w:val="0"/>
          <w:numId w:val="60"/>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3854B0B"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4B9C9A7F"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51DFC823"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58223370"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r w:rsidR="002F31D8">
        <w:rPr>
          <w:rFonts w:ascii="Arial Narrow" w:hAnsi="Arial Narrow"/>
          <w:sz w:val="22"/>
          <w:szCs w:val="22"/>
        </w:rPr>
        <w:t>,</w:t>
      </w:r>
    </w:p>
    <w:p w14:paraId="331C2F72"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5B55077F"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680D803B" w14:textId="77777777" w:rsidR="00EB3EFA" w:rsidRP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68FD4341"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5709FD10"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353E3098" w14:textId="77777777" w:rsidR="00EB3EFA" w:rsidRPr="009254A2"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2DDB12A2"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69B68"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2364B45B"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6967DD26"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77777777"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alebo typu dokladov podľa ods. 1 písm. a) alebo b)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skúšobný vzor 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lastRenderedPageBreak/>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FF1F69">
      <w:pPr>
        <w:numPr>
          <w:ilvl w:val="0"/>
          <w:numId w:val="54"/>
        </w:numPr>
        <w:tabs>
          <w:tab w:val="clear" w:pos="2160"/>
          <w:tab w:val="clear" w:pos="2880"/>
          <w:tab w:val="clear" w:pos="4500"/>
        </w:tabs>
        <w:ind w:left="295"/>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03BF4">
      <w:pPr>
        <w:numPr>
          <w:ilvl w:val="0"/>
          <w:numId w:val="54"/>
        </w:numPr>
        <w:tabs>
          <w:tab w:val="clear" w:pos="2160"/>
          <w:tab w:val="clear" w:pos="2880"/>
          <w:tab w:val="clear" w:pos="4500"/>
        </w:tabs>
        <w:ind w:left="295"/>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77777777" w:rsidR="001B39CB"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77777777" w:rsidR="001B39CB" w:rsidRP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 Predávajúci je povinný zabaliť a prepraviť čistopisy podľa podmienok uvedených v Prílohe č. </w:t>
      </w:r>
      <w:r w:rsidR="00F91354" w:rsidRPr="00883467">
        <w:rPr>
          <w:rFonts w:ascii="Arial Narrow" w:hAnsi="Arial Narrow"/>
          <w:sz w:val="22"/>
          <w:szCs w:val="22"/>
        </w:rPr>
        <w:t>1</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F91354" w:rsidRPr="00883467">
        <w:rPr>
          <w:rFonts w:ascii="Arial Narrow" w:hAnsi="Arial Narrow"/>
          <w:sz w:val="22"/>
          <w:szCs w:val="22"/>
        </w:rPr>
        <w:t>1</w:t>
      </w:r>
      <w:r w:rsidRPr="00883467">
        <w:rPr>
          <w:rFonts w:ascii="Arial Narrow" w:hAnsi="Arial Narrow"/>
          <w:sz w:val="22"/>
          <w:szCs w:val="22"/>
        </w:rPr>
        <w:t xml:space="preserve"> tejto zmluvy. </w:t>
      </w:r>
    </w:p>
    <w:p w14:paraId="2F70158A"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03BF4">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EC1F6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w:t>
      </w:r>
      <w:r>
        <w:rPr>
          <w:rFonts w:ascii="Arial Narrow" w:hAnsi="Arial Narrow"/>
          <w:spacing w:val="-4"/>
          <w:sz w:val="22"/>
          <w:szCs w:val="22"/>
        </w:rPr>
        <w:lastRenderedPageBreak/>
        <w:t>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1458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603C07">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303BF4">
      <w:pPr>
        <w:widowControl w:val="0"/>
        <w:numPr>
          <w:ilvl w:val="0"/>
          <w:numId w:val="57"/>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016A13">
      <w:pPr>
        <w:widowControl w:val="0"/>
        <w:numPr>
          <w:ilvl w:val="0"/>
          <w:numId w:val="47"/>
        </w:numPr>
        <w:tabs>
          <w:tab w:val="clear" w:pos="2160"/>
          <w:tab w:val="clear" w:pos="2880"/>
          <w:tab w:val="clear" w:pos="4500"/>
        </w:tabs>
        <w:ind w:left="0" w:firstLine="0"/>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016A13">
      <w:pPr>
        <w:pStyle w:val="Odsekzoznamu"/>
        <w:widowControl w:val="0"/>
        <w:numPr>
          <w:ilvl w:val="0"/>
          <w:numId w:val="70"/>
        </w:numPr>
        <w:tabs>
          <w:tab w:val="clear" w:pos="2160"/>
          <w:tab w:val="clear" w:pos="2880"/>
          <w:tab w:val="clear" w:pos="4500"/>
        </w:tabs>
        <w:ind w:left="426" w:hanging="142"/>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883467">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12378415" w14:textId="77777777" w:rsidR="00883467" w:rsidRPr="00883467" w:rsidRDefault="00883467" w:rsidP="00883467">
      <w:pPr>
        <w:widowControl w:val="0"/>
        <w:numPr>
          <w:ilvl w:val="0"/>
          <w:numId w:val="47"/>
        </w:numPr>
        <w:tabs>
          <w:tab w:val="clear" w:pos="2160"/>
          <w:tab w:val="clear" w:pos="2880"/>
          <w:tab w:val="clear" w:pos="4500"/>
          <w:tab w:val="num" w:pos="360"/>
        </w:tabs>
        <w:ind w:left="0"/>
        <w:jc w:val="both"/>
        <w:rPr>
          <w:rFonts w:ascii="Arial Narrow" w:hAnsi="Arial Narrow"/>
          <w:sz w:val="22"/>
          <w:szCs w:val="22"/>
        </w:rPr>
      </w:pPr>
      <w:r w:rsidRPr="00883467">
        <w:rPr>
          <w:rFonts w:ascii="Arial Narrow" w:hAnsi="Arial Narrow"/>
          <w:sz w:val="22"/>
          <w:szCs w:val="22"/>
        </w:rPr>
        <w:t>Maximálna lehota dodania čistopisov dokladov:</w:t>
      </w:r>
    </w:p>
    <w:p w14:paraId="76D2D74B" w14:textId="77777777" w:rsidR="00883467" w:rsidRPr="00DA14DA" w:rsidRDefault="00883467" w:rsidP="00883467">
      <w:pPr>
        <w:numPr>
          <w:ilvl w:val="0"/>
          <w:numId w:val="87"/>
        </w:numPr>
        <w:tabs>
          <w:tab w:val="left" w:pos="567"/>
        </w:tabs>
        <w:ind w:left="0" w:firstLine="0"/>
        <w:jc w:val="both"/>
        <w:rPr>
          <w:rFonts w:ascii="Arial Narrow" w:hAnsi="Arial Narrow"/>
          <w:sz w:val="22"/>
          <w:szCs w:val="22"/>
        </w:rPr>
      </w:pPr>
      <w:r w:rsidRPr="00883467">
        <w:rPr>
          <w:rFonts w:ascii="Arial Narrow" w:hAnsi="Arial Narrow"/>
          <w:sz w:val="22"/>
          <w:szCs w:val="22"/>
        </w:rPr>
        <w:t xml:space="preserve">formátu ID 1 </w:t>
      </w:r>
      <w:r w:rsidRPr="00883467">
        <w:rPr>
          <w:rFonts w:ascii="Arial Narrow" w:hAnsi="Arial Narrow" w:cs="Arial"/>
          <w:sz w:val="22"/>
          <w:szCs w:val="22"/>
        </w:rPr>
        <w:t>(Vodičský preukaz, Osvedčenie</w:t>
      </w:r>
      <w:r w:rsidRPr="003E1727">
        <w:rPr>
          <w:rFonts w:ascii="Arial Narrow" w:hAnsi="Arial Narrow" w:cs="Arial"/>
          <w:sz w:val="22"/>
          <w:szCs w:val="22"/>
        </w:rPr>
        <w:t xml:space="preserve"> o evidencii vozidla I a</w:t>
      </w:r>
      <w:r>
        <w:rPr>
          <w:rFonts w:ascii="Arial Narrow" w:hAnsi="Arial Narrow" w:cs="Arial"/>
          <w:sz w:val="22"/>
          <w:szCs w:val="22"/>
        </w:rPr>
        <w:t> O</w:t>
      </w:r>
      <w:r w:rsidRPr="003E1727">
        <w:rPr>
          <w:rFonts w:ascii="Arial Narrow" w:hAnsi="Arial Narrow" w:cs="Arial"/>
          <w:sz w:val="22"/>
          <w:szCs w:val="22"/>
        </w:rPr>
        <w:t>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119A44E5" w14:textId="08A2A42D" w:rsidR="00883467" w:rsidRPr="003E1727" w:rsidRDefault="00883467" w:rsidP="00883467">
      <w:pPr>
        <w:numPr>
          <w:ilvl w:val="0"/>
          <w:numId w:val="87"/>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Zbrojný preukaz a Služobný preukaz) je </w:t>
      </w:r>
      <w:r w:rsidRPr="00DC7178">
        <w:rPr>
          <w:rFonts w:ascii="Arial Narrow" w:hAnsi="Arial Narrow" w:cs="Arial"/>
          <w:sz w:val="22"/>
          <w:szCs w:val="22"/>
        </w:rPr>
        <w:t>do</w:t>
      </w:r>
      <w:r>
        <w:rPr>
          <w:rFonts w:ascii="Arial Narrow" w:hAnsi="Arial Narrow" w:cs="Arial"/>
          <w:b/>
          <w:sz w:val="22"/>
          <w:szCs w:val="22"/>
        </w:rPr>
        <w:t xml:space="preserve"> </w:t>
      </w:r>
      <w:r w:rsidRPr="003E1727">
        <w:rPr>
          <w:rFonts w:ascii="Arial Narrow" w:hAnsi="Arial Narrow"/>
          <w:b/>
          <w:sz w:val="22"/>
          <w:szCs w:val="22"/>
        </w:rPr>
        <w:t>120 dní</w:t>
      </w:r>
    </w:p>
    <w:p w14:paraId="6651C75A" w14:textId="77777777" w:rsidR="00883467" w:rsidRDefault="00883467" w:rsidP="00883467">
      <w:pPr>
        <w:numPr>
          <w:ilvl w:val="0"/>
          <w:numId w:val="87"/>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6A59B071" w14:textId="77777777" w:rsidR="00883467" w:rsidRPr="003E1727" w:rsidRDefault="00883467" w:rsidP="00883467">
      <w:pPr>
        <w:tabs>
          <w:tab w:val="left" w:pos="567"/>
        </w:tabs>
        <w:jc w:val="both"/>
        <w:rPr>
          <w:rFonts w:ascii="Arial Narrow" w:hAnsi="Arial Narrow"/>
          <w:sz w:val="22"/>
          <w:szCs w:val="22"/>
        </w:rPr>
      </w:pPr>
      <w:r>
        <w:rPr>
          <w:rFonts w:ascii="Arial Narrow" w:hAnsi="Arial Narrow"/>
          <w:sz w:val="22"/>
          <w:szCs w:val="22"/>
        </w:rPr>
        <w:t>Pre prvú dodávku schválených čistopisov platí všeobecná lehota do jednostoosemdesiat (180) dní pre všetky typy dokladov.</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Zmluvné strany sa dohodli, že po uzatvorení prvej realizačnej zmluvy na konkrétny typ dokladu (ďalej len "prvá realizačná zmluva") a pred prvým začatím výroby čistopisov tohto konkrétneho dokladu (ďalej len „prvá dodávka čistopisov“) je predávajúci povinný predložiť kupujúcemu na schválenie</w:t>
      </w:r>
    </w:p>
    <w:p w14:paraId="2AB08D8B"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grafický dizajn čistopisu, grafický bezpečnostný dizajn čistopisu, dizajn OVI prvku a dizajn ochranného prúžku, obsahujúce najmä grafické a textové prvky, zámerné chyby, predlohu UV tlače, OVI tlače, farebnosti a </w:t>
      </w:r>
      <w:proofErr w:type="spellStart"/>
      <w:r w:rsidRPr="00320F59">
        <w:rPr>
          <w:rFonts w:ascii="Arial Narrow" w:hAnsi="Arial Narrow"/>
          <w:sz w:val="22"/>
          <w:szCs w:val="22"/>
        </w:rPr>
        <w:t>cromalínové</w:t>
      </w:r>
      <w:proofErr w:type="spellEnd"/>
      <w:r w:rsidRPr="00320F59">
        <w:rPr>
          <w:rFonts w:ascii="Arial Narrow" w:hAnsi="Arial Narrow"/>
          <w:sz w:val="22"/>
          <w:szCs w:val="22"/>
        </w:rPr>
        <w:t xml:space="preserve"> nátlačky vrátane telesa karty a popisu jednotlivých vrstiev telesa karty – najneskôr </w:t>
      </w:r>
      <w:r>
        <w:rPr>
          <w:rFonts w:ascii="Arial Narrow" w:hAnsi="Arial Narrow"/>
          <w:spacing w:val="-4"/>
          <w:sz w:val="22"/>
          <w:szCs w:val="22"/>
        </w:rPr>
        <w:t xml:space="preserve">do </w:t>
      </w:r>
      <w:r w:rsidR="006B5632">
        <w:rPr>
          <w:rFonts w:ascii="Arial Narrow" w:hAnsi="Arial Narrow"/>
          <w:spacing w:val="-4"/>
          <w:sz w:val="22"/>
          <w:szCs w:val="22"/>
        </w:rPr>
        <w:t>deväťdesiat (</w:t>
      </w:r>
      <w:r>
        <w:rPr>
          <w:rFonts w:ascii="Arial Narrow" w:hAnsi="Arial Narrow"/>
          <w:spacing w:val="-4"/>
          <w:sz w:val="22"/>
          <w:szCs w:val="22"/>
        </w:rPr>
        <w:t>90</w:t>
      </w:r>
      <w:r w:rsidR="006B5632">
        <w:rPr>
          <w:rFonts w:ascii="Arial Narrow" w:hAnsi="Arial Narrow"/>
          <w:spacing w:val="-4"/>
          <w:sz w:val="22"/>
          <w:szCs w:val="22"/>
        </w:rPr>
        <w:t>)</w:t>
      </w:r>
      <w:r>
        <w:rPr>
          <w:rFonts w:ascii="Arial Narrow" w:hAnsi="Arial Narrow"/>
          <w:spacing w:val="-4"/>
          <w:sz w:val="22"/>
          <w:szCs w:val="22"/>
        </w:rPr>
        <w:t xml:space="preserve"> </w:t>
      </w:r>
      <w:r w:rsidRPr="00320F59">
        <w:rPr>
          <w:rFonts w:ascii="Arial Narrow" w:hAnsi="Arial Narrow"/>
          <w:spacing w:val="-4"/>
          <w:sz w:val="22"/>
          <w:szCs w:val="22"/>
        </w:rPr>
        <w:t>dní odo dňa uzatvorenia prvej realizačnej zmluvy,</w:t>
      </w:r>
    </w:p>
    <w:p w14:paraId="5232E6CF"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6B5632">
        <w:rPr>
          <w:rFonts w:ascii="Arial Narrow" w:hAnsi="Arial Narrow"/>
          <w:sz w:val="22"/>
          <w:szCs w:val="22"/>
        </w:rPr>
        <w:t>deväťdesiat (</w:t>
      </w:r>
      <w:r>
        <w:rPr>
          <w:rFonts w:ascii="Arial Narrow" w:hAnsi="Arial Narrow"/>
          <w:sz w:val="22"/>
          <w:szCs w:val="22"/>
        </w:rPr>
        <w:t>90</w:t>
      </w:r>
      <w:r w:rsidR="006B5632">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05CD80D3"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 xml:space="preserve">tlačové hárky – najneskôr  do </w:t>
      </w:r>
      <w:r w:rsidR="006B5632">
        <w:rPr>
          <w:rFonts w:ascii="Arial Narrow" w:hAnsi="Arial Narrow"/>
          <w:sz w:val="22"/>
          <w:szCs w:val="22"/>
        </w:rPr>
        <w:t>jednosto (</w:t>
      </w:r>
      <w:r>
        <w:rPr>
          <w:rFonts w:ascii="Arial Narrow" w:hAnsi="Arial Narrow"/>
          <w:sz w:val="22"/>
          <w:szCs w:val="22"/>
        </w:rPr>
        <w:t>100</w:t>
      </w:r>
      <w:r w:rsidR="006B5632">
        <w:rPr>
          <w:rFonts w:ascii="Arial Narrow" w:hAnsi="Arial Narrow"/>
          <w:sz w:val="22"/>
          <w:szCs w:val="22"/>
        </w:rPr>
        <w:t>)</w:t>
      </w:r>
      <w:r w:rsidRPr="00320F59">
        <w:rPr>
          <w:rFonts w:ascii="Arial Narrow" w:hAnsi="Arial Narrow"/>
          <w:sz w:val="22"/>
          <w:szCs w:val="22"/>
        </w:rPr>
        <w:t xml:space="preserve"> dní odo dňa uzatvorenia prvej realizačnej zmluvy, </w:t>
      </w:r>
    </w:p>
    <w:p w14:paraId="37D3C82A" w14:textId="77777777" w:rsidR="001B39CB"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 xml:space="preserve">TKO fólie – najneskôr do </w:t>
      </w:r>
      <w:r w:rsidR="006B5632">
        <w:rPr>
          <w:rFonts w:ascii="Arial Narrow" w:hAnsi="Arial Narrow"/>
          <w:sz w:val="22"/>
          <w:szCs w:val="22"/>
        </w:rPr>
        <w:t>jednostodvadsať (</w:t>
      </w:r>
      <w:r>
        <w:rPr>
          <w:rFonts w:ascii="Arial Narrow" w:hAnsi="Arial Narrow"/>
          <w:sz w:val="22"/>
          <w:szCs w:val="22"/>
        </w:rPr>
        <w:t>120</w:t>
      </w:r>
      <w:r w:rsidR="006B5632">
        <w:rPr>
          <w:rFonts w:ascii="Arial Narrow" w:hAnsi="Arial Narrow"/>
          <w:sz w:val="22"/>
          <w:szCs w:val="22"/>
        </w:rPr>
        <w:t>)</w:t>
      </w:r>
      <w:r>
        <w:rPr>
          <w:rFonts w:ascii="Arial Narrow" w:hAnsi="Arial Narrow"/>
          <w:sz w:val="22"/>
          <w:szCs w:val="22"/>
        </w:rPr>
        <w:t xml:space="preserve"> dní odo dňa uzatvorenia prvej realizačnej zmluvy,</w:t>
      </w:r>
    </w:p>
    <w:p w14:paraId="52B2BEDC" w14:textId="2E2078E8" w:rsidR="001B39CB" w:rsidRDefault="006B5632"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w:t>
      </w:r>
      <w:r>
        <w:rPr>
          <w:rFonts w:ascii="Arial Narrow" w:hAnsi="Arial Narrow"/>
          <w:sz w:val="22"/>
          <w:szCs w:val="22"/>
        </w:rPr>
        <w:t>päťtisíc (</w:t>
      </w:r>
      <w:r w:rsidR="001B39CB">
        <w:rPr>
          <w:rFonts w:ascii="Arial Narrow" w:hAnsi="Arial Narrow"/>
          <w:sz w:val="22"/>
          <w:szCs w:val="22"/>
        </w:rPr>
        <w:t>5</w:t>
      </w:r>
      <w:r>
        <w:rPr>
          <w:rFonts w:ascii="Arial Narrow" w:hAnsi="Arial Narrow"/>
          <w:sz w:val="22"/>
          <w:szCs w:val="22"/>
        </w:rPr>
        <w:t> </w:t>
      </w:r>
      <w:r w:rsidR="001B39CB">
        <w:rPr>
          <w:rFonts w:ascii="Arial Narrow" w:hAnsi="Arial Narrow"/>
          <w:sz w:val="22"/>
          <w:szCs w:val="22"/>
        </w:rPr>
        <w:t>000</w:t>
      </w:r>
      <w:r>
        <w:rPr>
          <w:rFonts w:ascii="Arial Narrow" w:hAnsi="Arial Narrow"/>
          <w:sz w:val="22"/>
          <w:szCs w:val="22"/>
        </w:rPr>
        <w:t>)</w:t>
      </w:r>
      <w:r w:rsidR="001B39CB">
        <w:rPr>
          <w:rFonts w:ascii="Arial Narrow" w:hAnsi="Arial Narrow"/>
          <w:sz w:val="22"/>
          <w:szCs w:val="22"/>
        </w:rPr>
        <w:t xml:space="preserve"> pre každý doklad podľa čl. II ods. 1 písm. a) tejto </w:t>
      </w:r>
      <w:r>
        <w:rPr>
          <w:rFonts w:ascii="Arial Narrow" w:hAnsi="Arial Narrow"/>
          <w:sz w:val="22"/>
          <w:szCs w:val="22"/>
        </w:rPr>
        <w:t>zmluvy</w:t>
      </w:r>
      <w:r w:rsidR="001B39CB">
        <w:rPr>
          <w:rFonts w:ascii="Arial Narrow" w:hAnsi="Arial Narrow"/>
          <w:sz w:val="22"/>
          <w:szCs w:val="22"/>
        </w:rPr>
        <w:t xml:space="preserve"> okrem, </w:t>
      </w:r>
      <w:r>
        <w:rPr>
          <w:rFonts w:ascii="Arial Narrow" w:hAnsi="Arial Narrow"/>
          <w:sz w:val="22"/>
          <w:szCs w:val="22"/>
        </w:rPr>
        <w:t>dvetisíc (</w:t>
      </w:r>
      <w:r w:rsidR="001B39CB">
        <w:rPr>
          <w:rFonts w:ascii="Arial Narrow" w:hAnsi="Arial Narrow"/>
          <w:sz w:val="22"/>
          <w:szCs w:val="22"/>
        </w:rPr>
        <w:t>2 000) pre cestovný pas a</w:t>
      </w:r>
      <w:r>
        <w:rPr>
          <w:rFonts w:ascii="Arial Narrow" w:hAnsi="Arial Narrow"/>
          <w:sz w:val="22"/>
          <w:szCs w:val="22"/>
        </w:rPr>
        <w:t> päťsto (500</w:t>
      </w:r>
      <w:r w:rsidR="001B39CB">
        <w:rPr>
          <w:rFonts w:ascii="Arial Narrow" w:hAnsi="Arial Narrow"/>
          <w:sz w:val="22"/>
          <w:szCs w:val="22"/>
        </w:rPr>
        <w:t xml:space="preserve">) pre diplomatický pas, služobný pas, cudzinecký pas, cestovný doklad 1951 a cestovný </w:t>
      </w:r>
      <w:r w:rsidR="001B39CB" w:rsidRPr="00FE3F54">
        <w:rPr>
          <w:rFonts w:ascii="Arial Narrow" w:hAnsi="Arial Narrow"/>
          <w:sz w:val="22"/>
          <w:szCs w:val="22"/>
        </w:rPr>
        <w:t xml:space="preserve">doklad 1954 – najneskôr do </w:t>
      </w:r>
      <w:r>
        <w:rPr>
          <w:rFonts w:ascii="Arial Narrow" w:hAnsi="Arial Narrow"/>
          <w:sz w:val="22"/>
          <w:szCs w:val="22"/>
        </w:rPr>
        <w:t>jednostopäťdesiat (</w:t>
      </w:r>
      <w:r w:rsidR="001B39CB" w:rsidRPr="00FE3F54">
        <w:rPr>
          <w:rFonts w:ascii="Arial Narrow" w:hAnsi="Arial Narrow"/>
          <w:sz w:val="22"/>
          <w:szCs w:val="22"/>
        </w:rPr>
        <w:t>150</w:t>
      </w:r>
      <w:r>
        <w:rPr>
          <w:rFonts w:ascii="Arial Narrow" w:hAnsi="Arial Narrow"/>
          <w:sz w:val="22"/>
          <w:szCs w:val="22"/>
        </w:rPr>
        <w:t>)</w:t>
      </w:r>
      <w:r w:rsidR="001B39CB" w:rsidRPr="00FE3F54">
        <w:rPr>
          <w:rFonts w:ascii="Arial Narrow" w:hAnsi="Arial Narrow"/>
          <w:sz w:val="22"/>
          <w:szCs w:val="22"/>
        </w:rPr>
        <w:t xml:space="preserve"> dní odo</w:t>
      </w:r>
      <w:r w:rsidR="001B39CB" w:rsidRPr="00320F59">
        <w:rPr>
          <w:rFonts w:ascii="Arial Narrow" w:hAnsi="Arial Narrow"/>
          <w:sz w:val="22"/>
          <w:szCs w:val="22"/>
        </w:rPr>
        <w:t xml:space="preserve"> dňa uzatv</w:t>
      </w:r>
      <w:r w:rsidR="001B39CB">
        <w:rPr>
          <w:rFonts w:ascii="Arial Narrow" w:hAnsi="Arial Narrow"/>
          <w:sz w:val="22"/>
          <w:szCs w:val="22"/>
        </w:rPr>
        <w:t>orenia prvej realizačnej zmluvy.</w:t>
      </w:r>
    </w:p>
    <w:p w14:paraId="2E50E254" w14:textId="77777777" w:rsidR="001B39CB" w:rsidRPr="00307D5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07D58">
        <w:rPr>
          <w:rFonts w:ascii="Arial Narrow" w:hAnsi="Arial Narrow"/>
          <w:spacing w:val="-4"/>
          <w:sz w:val="22"/>
          <w:szCs w:val="22"/>
        </w:rPr>
        <w:t>(ďale</w:t>
      </w:r>
      <w:r>
        <w:rPr>
          <w:rFonts w:ascii="Arial Narrow" w:hAnsi="Arial Narrow"/>
          <w:spacing w:val="-4"/>
          <w:sz w:val="22"/>
          <w:szCs w:val="22"/>
        </w:rPr>
        <w:t>j aj „jednotlivé kroky výroby“)</w:t>
      </w:r>
    </w:p>
    <w:p w14:paraId="7007734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c) a d)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b) 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3FA048AB"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8615CC">
        <w:rPr>
          <w:rFonts w:ascii="Arial Narrow" w:hAnsi="Arial Narrow"/>
          <w:spacing w:val="-4"/>
          <w:sz w:val="22"/>
          <w:szCs w:val="22"/>
        </w:rPr>
        <w:t>dohody</w:t>
      </w:r>
      <w:r>
        <w:rPr>
          <w:rFonts w:ascii="Arial Narrow" w:hAnsi="Arial Narrow"/>
          <w:sz w:val="22"/>
          <w:szCs w:val="22"/>
        </w:rPr>
        <w:t xml:space="preserve">, okamžite po predložení kupujúcemu na jeho schválenie, </w:t>
      </w:r>
    </w:p>
    <w:p w14:paraId="03109620"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dvoch (</w:t>
      </w:r>
      <w:r>
        <w:rPr>
          <w:rFonts w:ascii="Arial Narrow" w:hAnsi="Arial Narrow"/>
          <w:sz w:val="22"/>
          <w:szCs w:val="22"/>
        </w:rPr>
        <w:t>2</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2E5C0079"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8615CC">
        <w:rPr>
          <w:rFonts w:ascii="Arial Narrow" w:hAnsi="Arial Narrow"/>
          <w:spacing w:val="-4"/>
          <w:sz w:val="22"/>
          <w:szCs w:val="22"/>
        </w:rPr>
        <w:t>dohody</w:t>
      </w:r>
      <w:r>
        <w:rPr>
          <w:rFonts w:ascii="Arial Narrow" w:hAnsi="Arial Narrow"/>
          <w:sz w:val="22"/>
          <w:szCs w:val="22"/>
        </w:rPr>
        <w:t xml:space="preserve">, do </w:t>
      </w:r>
      <w:r w:rsidR="008615CC">
        <w:rPr>
          <w:rFonts w:ascii="Arial Narrow" w:hAnsi="Arial Narrow"/>
          <w:sz w:val="22"/>
          <w:szCs w:val="22"/>
        </w:rPr>
        <w:t>šiestich (</w:t>
      </w:r>
      <w:r>
        <w:rPr>
          <w:rFonts w:ascii="Arial Narrow" w:hAnsi="Arial Narrow"/>
          <w:sz w:val="22"/>
          <w:szCs w:val="22"/>
        </w:rPr>
        <w:t>6</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do </w:t>
      </w:r>
      <w:r w:rsidR="008615CC">
        <w:rPr>
          <w:rFonts w:ascii="Arial Narrow" w:hAnsi="Arial Narrow"/>
          <w:spacing w:val="-4"/>
          <w:sz w:val="22"/>
          <w:szCs w:val="22"/>
        </w:rPr>
        <w:t>troch (</w:t>
      </w:r>
      <w:r>
        <w:rPr>
          <w:rFonts w:ascii="Arial Narrow" w:hAnsi="Arial Narrow"/>
          <w:spacing w:val="-4"/>
          <w:sz w:val="22"/>
          <w:szCs w:val="22"/>
        </w:rPr>
        <w:t>3</w:t>
      </w:r>
      <w:r w:rsidR="008615CC">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8615CC">
        <w:rPr>
          <w:rFonts w:ascii="Arial Narrow" w:hAnsi="Arial Narrow"/>
          <w:spacing w:val="-4"/>
          <w:sz w:val="22"/>
          <w:szCs w:val="22"/>
        </w:rPr>
        <w:t>dohody</w:t>
      </w:r>
      <w:r>
        <w:rPr>
          <w:rFonts w:ascii="Arial Narrow" w:hAnsi="Arial Narrow"/>
          <w:spacing w:val="-4"/>
          <w:sz w:val="22"/>
          <w:szCs w:val="22"/>
        </w:rPr>
        <w:t xml:space="preserve">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w:t>
      </w:r>
      <w:r>
        <w:rPr>
          <w:rFonts w:ascii="Arial Narrow" w:hAnsi="Arial Narrow"/>
          <w:spacing w:val="-4"/>
          <w:sz w:val="22"/>
          <w:szCs w:val="22"/>
        </w:rPr>
        <w:lastRenderedPageBreak/>
        <w:t xml:space="preserve">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68E4F1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8615CC">
        <w:rPr>
          <w:rFonts w:ascii="Arial Narrow" w:hAnsi="Arial Narrow"/>
          <w:spacing w:val="-4"/>
          <w:sz w:val="22"/>
          <w:szCs w:val="22"/>
        </w:rPr>
        <w:t>dohody</w:t>
      </w:r>
      <w:r>
        <w:rPr>
          <w:rFonts w:ascii="Arial Narrow" w:hAnsi="Arial Narrow"/>
          <w:spacing w:val="-4"/>
          <w:sz w:val="22"/>
          <w:szCs w:val="22"/>
        </w:rPr>
        <w:t xml:space="preserve">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r w:rsidR="008615CC">
        <w:rPr>
          <w:rFonts w:ascii="Arial Narrow" w:hAnsi="Arial Narrow"/>
          <w:spacing w:val="-4"/>
          <w:sz w:val="22"/>
          <w:szCs w:val="22"/>
        </w:rPr>
        <w:t xml:space="preserve"> </w:t>
      </w:r>
    </w:p>
    <w:p w14:paraId="3C7DED04" w14:textId="77777777"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8615CC">
        <w:rPr>
          <w:rFonts w:ascii="Arial Narrow" w:hAnsi="Arial Narrow"/>
          <w:spacing w:val="-4"/>
          <w:sz w:val="22"/>
          <w:szCs w:val="22"/>
        </w:rPr>
        <w:t xml:space="preserve"> </w:t>
      </w:r>
    </w:p>
    <w:p w14:paraId="45FA985B" w14:textId="77777777"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ktoré sa vzťahujú na prvú realizačnú zmluvu a prvú dodávku čistopisov. Zmluvné strany sa dohodli, že ak kupujúci právo podľa prvej vety využije, uplatnia sa ustanovenia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 xml:space="preserve">Uchádzač musí disponovať úrovňou ochrany utajovaných skutočností na stupeň </w:t>
      </w:r>
      <w:r w:rsidRPr="00B7263C">
        <w:rPr>
          <w:rFonts w:ascii="Arial Narrow" w:hAnsi="Arial Narrow"/>
          <w:sz w:val="22"/>
        </w:rPr>
        <w:t>„EU SECRET“.</w:t>
      </w:r>
      <w:r w:rsidRPr="002F4A62">
        <w:rPr>
          <w:rFonts w:ascii="Arial Narrow" w:hAnsi="Arial Narrow"/>
          <w:sz w:val="22"/>
        </w:rPr>
        <w:t xml:space="preserve">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6292BC7D" w:rsidR="00AD5552" w:rsidRDefault="00AD5552" w:rsidP="00AD5552">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 xml:space="preserve">mať platnú previerku o priemyselnej bezpečnosti minimálne na stupeň </w:t>
      </w:r>
      <w:r w:rsidRPr="00086263">
        <w:rPr>
          <w:rFonts w:ascii="Arial Narrow" w:hAnsi="Arial Narrow"/>
          <w:sz w:val="22"/>
          <w:szCs w:val="22"/>
          <w:highlight w:val="green"/>
        </w:rPr>
        <w:t>„</w:t>
      </w:r>
      <w:r w:rsidR="00D776B3" w:rsidRPr="00086263">
        <w:rPr>
          <w:rFonts w:ascii="Arial Narrow" w:hAnsi="Arial Narrow"/>
          <w:sz w:val="22"/>
          <w:szCs w:val="22"/>
          <w:highlight w:val="green"/>
        </w:rPr>
        <w:t>EU SECRET</w:t>
      </w:r>
      <w:r w:rsidRPr="00086263">
        <w:rPr>
          <w:rFonts w:ascii="Arial Narrow" w:hAnsi="Arial Narrow"/>
          <w:sz w:val="22"/>
          <w:szCs w:val="22"/>
          <w:highlight w:val="green"/>
        </w:rPr>
        <w:t>“</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w:t>
      </w:r>
      <w:bookmarkStart w:id="0" w:name="_GoBack"/>
      <w:r w:rsidRPr="00CE2CAF">
        <w:rPr>
          <w:rFonts w:ascii="Arial Narrow" w:hAnsi="Arial Narrow"/>
          <w:sz w:val="22"/>
          <w:szCs w:val="22"/>
        </w:rPr>
        <w:t xml:space="preserve">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xml:space="preserve">” alebo ekvivalentnej normy, pre všetky výrobné prevádzky, ktoré sa budú podieľať pri výrobe </w:t>
      </w:r>
      <w:bookmarkEnd w:id="0"/>
      <w:r w:rsidRPr="00CE2CAF">
        <w:rPr>
          <w:rFonts w:ascii="Arial Narrow" w:hAnsi="Arial Narrow"/>
          <w:sz w:val="22"/>
          <w:szCs w:val="22"/>
        </w:rPr>
        <w:t>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w:t>
      </w:r>
      <w:r w:rsidRPr="00A51D1D">
        <w:rPr>
          <w:rFonts w:ascii="Arial Narrow" w:hAnsi="Arial Narrow"/>
          <w:sz w:val="22"/>
          <w:szCs w:val="22"/>
        </w:rPr>
        <w:lastRenderedPageBreak/>
        <w:t xml:space="preserve">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5FC3413A" w:rsidR="000D1757" w:rsidRPr="000D1757" w:rsidRDefault="007D65BA" w:rsidP="000D175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kupujúci je povinný požadovať od týchto subdodávateľov, aby </w:t>
      </w:r>
      <w:r w:rsidR="000D1757" w:rsidRPr="000D1757">
        <w:rPr>
          <w:rFonts w:ascii="Arial Narrow" w:hAnsi="Arial Narrow"/>
          <w:spacing w:val="-4"/>
          <w:sz w:val="22"/>
          <w:szCs w:val="22"/>
        </w:rPr>
        <w:t xml:space="preserve">títo disponovali </w:t>
      </w:r>
      <w:r w:rsidR="000D1757" w:rsidRPr="000D1757">
        <w:rPr>
          <w:rFonts w:ascii="Arial Narrow" w:hAnsi="Arial Narrow"/>
          <w:sz w:val="22"/>
        </w:rPr>
        <w:t>úrovňou ochrany utajovaných skutočností na stupeň „EU SECRET“. Priemyselná bezpečnosť sa musí vzťahovať aj  na všetky prevádzky, v ktorých sa budú čistopisy dokladov SR vyrábať. Subdodávateľ musí disponovať touto previerkou po celú dobu platnosti Rámcovej dohody.</w:t>
      </w:r>
    </w:p>
    <w:p w14:paraId="1A085414" w14:textId="77777777" w:rsidR="002B227D" w:rsidRDefault="002B227D"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77777777"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sidR="002B227D">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sidR="002B227D">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sidR="002B227D">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sidR="002B227D">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sidR="002B227D">
        <w:rPr>
          <w:rFonts w:ascii="Arial Narrow" w:hAnsi="Arial Narrow"/>
          <w:spacing w:val="-4"/>
          <w:sz w:val="22"/>
          <w:szCs w:val="22"/>
        </w:rPr>
        <w:t>, ktoré má byť nahradené</w:t>
      </w:r>
      <w:r>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77777777" w:rsidR="00EB3EFA" w:rsidRPr="00B90B86"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7CD13FF8"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02900AD4"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Default="00E809F0" w:rsidP="00B90B86">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636632E5" w14:textId="77777777" w:rsidR="00EB3EFA"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Do</w:t>
      </w:r>
      <w:r w:rsidR="002B227D">
        <w:rPr>
          <w:rFonts w:ascii="Arial Narrow" w:hAnsi="Arial Narrow"/>
          <w:b/>
          <w:bCs/>
          <w:sz w:val="22"/>
          <w:szCs w:val="22"/>
        </w:rPr>
        <w:t xml:space="preserve">ba trvania </w:t>
      </w:r>
      <w:r>
        <w:rPr>
          <w:rFonts w:ascii="Arial Narrow" w:hAnsi="Arial Narrow"/>
          <w:b/>
          <w:bCs/>
          <w:sz w:val="22"/>
          <w:szCs w:val="22"/>
        </w:rPr>
        <w:t>dohody</w:t>
      </w:r>
      <w:r w:rsidR="002B227D">
        <w:rPr>
          <w:rFonts w:ascii="Arial Narrow" w:hAnsi="Arial Narrow"/>
          <w:b/>
          <w:bCs/>
          <w:sz w:val="22"/>
          <w:szCs w:val="22"/>
        </w:rPr>
        <w:t xml:space="preserve"> a ukončenie  </w:t>
      </w:r>
      <w:r>
        <w:rPr>
          <w:rFonts w:ascii="Arial Narrow" w:hAnsi="Arial Narrow"/>
          <w:b/>
          <w:bCs/>
          <w:sz w:val="22"/>
          <w:szCs w:val="22"/>
        </w:rPr>
        <w:t xml:space="preserve">dohody </w:t>
      </w:r>
      <w:r w:rsidR="002B227D">
        <w:rPr>
          <w:rFonts w:ascii="Arial Narrow" w:hAnsi="Arial Narrow"/>
          <w:b/>
          <w:bCs/>
          <w:sz w:val="22"/>
          <w:szCs w:val="22"/>
        </w:rPr>
        <w:t>a realizačnej zmluvy</w:t>
      </w:r>
    </w:p>
    <w:p w14:paraId="62BB7240" w14:textId="77777777" w:rsidR="00EB3EFA" w:rsidRDefault="00EB3EFA">
      <w:pPr>
        <w:keepNext/>
        <w:keepLines/>
        <w:shd w:val="clear" w:color="auto" w:fill="FFFFFF"/>
        <w:ind w:right="108"/>
        <w:jc w:val="center"/>
        <w:rPr>
          <w:rFonts w:ascii="Arial Narrow" w:hAnsi="Arial Narrow"/>
          <w:b/>
          <w:bCs/>
          <w:sz w:val="22"/>
          <w:szCs w:val="22"/>
        </w:rPr>
      </w:pPr>
    </w:p>
    <w:p w14:paraId="4C1AF324" w14:textId="281AF32F" w:rsidR="00E94F2C"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B90B86">
        <w:rPr>
          <w:rFonts w:ascii="Arial Narrow" w:hAnsi="Arial Narrow"/>
          <w:bCs/>
          <w:sz w:val="22"/>
          <w:szCs w:val="22"/>
        </w:rPr>
        <w:t>dohoda</w:t>
      </w:r>
      <w:r w:rsidRPr="002C7647">
        <w:rPr>
          <w:rFonts w:ascii="Arial Narrow" w:hAnsi="Arial Narrow"/>
          <w:bCs/>
          <w:sz w:val="22"/>
          <w:szCs w:val="22"/>
        </w:rPr>
        <w:t xml:space="preserve"> sa uzatvára na dobu </w:t>
      </w:r>
      <w:r w:rsidRPr="00DD04F6">
        <w:rPr>
          <w:rFonts w:ascii="Arial Narrow" w:hAnsi="Arial Narrow"/>
          <w:bCs/>
          <w:sz w:val="22"/>
          <w:szCs w:val="22"/>
        </w:rPr>
        <w:t xml:space="preserve">určitú, na </w:t>
      </w:r>
      <w:r w:rsidR="005165EE" w:rsidRPr="00D776B3">
        <w:rPr>
          <w:rFonts w:ascii="Arial Narrow" w:hAnsi="Arial Narrow"/>
          <w:bCs/>
          <w:sz w:val="22"/>
          <w:szCs w:val="22"/>
          <w:highlight w:val="green"/>
        </w:rPr>
        <w:t>48</w:t>
      </w:r>
      <w:r w:rsidRPr="00D776B3">
        <w:rPr>
          <w:rFonts w:ascii="Arial Narrow" w:hAnsi="Arial Narrow"/>
          <w:bCs/>
          <w:sz w:val="22"/>
          <w:szCs w:val="22"/>
          <w:highlight w:val="green"/>
        </w:rPr>
        <w:t xml:space="preserve"> mesiacov</w:t>
      </w:r>
      <w:r w:rsidRPr="00DD04F6">
        <w:rPr>
          <w:rFonts w:ascii="Arial Narrow" w:hAnsi="Arial Narrow"/>
          <w:bCs/>
          <w:sz w:val="22"/>
          <w:szCs w:val="22"/>
        </w:rPr>
        <w:t xml:space="preserve"> </w:t>
      </w:r>
      <w:r w:rsidRPr="002C7647">
        <w:rPr>
          <w:rFonts w:ascii="Arial Narrow" w:hAnsi="Arial Narrow"/>
          <w:bCs/>
          <w:sz w:val="22"/>
          <w:szCs w:val="22"/>
        </w:rPr>
        <w:t>odo dňa nadobudnutia jej účinnosti</w:t>
      </w:r>
      <w:r w:rsidR="00B90B86">
        <w:rPr>
          <w:rFonts w:ascii="Arial Narrow" w:hAnsi="Arial Narrow"/>
          <w:bCs/>
          <w:sz w:val="22"/>
          <w:szCs w:val="22"/>
        </w:rPr>
        <w:t xml:space="preserve"> </w:t>
      </w:r>
      <w:r w:rsidR="00B90B86" w:rsidRPr="00DD04F6">
        <w:rPr>
          <w:rFonts w:ascii="Arial Narrow" w:hAnsi="Arial Narrow"/>
          <w:bCs/>
          <w:sz w:val="22"/>
          <w:szCs w:val="22"/>
        </w:rPr>
        <w:t xml:space="preserve">alebo do vyčerpania výšky finančného </w:t>
      </w:r>
      <w:r w:rsidR="00B90B86">
        <w:rPr>
          <w:rFonts w:ascii="Arial Narrow" w:hAnsi="Arial Narrow"/>
          <w:bCs/>
          <w:sz w:val="22"/>
          <w:szCs w:val="22"/>
        </w:rPr>
        <w:t>limitu podľa Prílohy č. 2 tejto dohody, podľa toho, ktorá skutočnosť nastane skôr</w:t>
      </w:r>
      <w:r w:rsidR="00B90B86" w:rsidRPr="002C7647">
        <w:rPr>
          <w:rFonts w:ascii="Arial Narrow" w:hAnsi="Arial Narrow"/>
          <w:bCs/>
          <w:sz w:val="22"/>
          <w:szCs w:val="22"/>
        </w:rPr>
        <w:t>.</w:t>
      </w:r>
    </w:p>
    <w:p w14:paraId="40EE8984" w14:textId="77777777" w:rsidR="002D0C3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1A1E53D7"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a) písomnou dohodou,</w:t>
      </w:r>
    </w:p>
    <w:p w14:paraId="18830C24"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lastRenderedPageBreak/>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Pr="00367604"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64043F01" w14:textId="77777777" w:rsidR="008C000C" w:rsidRPr="0072682A" w:rsidRDefault="002B227D" w:rsidP="008C000C">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 xml:space="preserve">Príloha č. 4: </w:t>
      </w:r>
      <w:r w:rsidR="008C000C">
        <w:rPr>
          <w:rFonts w:ascii="Arial Narrow" w:hAnsi="Arial Narrow"/>
          <w:spacing w:val="-4"/>
          <w:sz w:val="22"/>
          <w:szCs w:val="22"/>
        </w:rPr>
        <w:t xml:space="preserve">   </w:t>
      </w:r>
      <w:r w:rsidR="008C000C" w:rsidRPr="0072682A">
        <w:rPr>
          <w:rFonts w:ascii="Arial Narrow" w:hAnsi="Arial Narrow"/>
          <w:spacing w:val="-4"/>
          <w:sz w:val="22"/>
          <w:szCs w:val="22"/>
        </w:rPr>
        <w:t>O</w:t>
      </w:r>
      <w:r w:rsidR="008C000C" w:rsidRPr="0072682A">
        <w:rPr>
          <w:rFonts w:ascii="Arial Narrow" w:hAnsi="Arial Narrow"/>
          <w:sz w:val="22"/>
        </w:rPr>
        <w:t xml:space="preserve">právnenie na oboznamovanie sa s utajovanými skutočnosťami na úrovni bezpečnosti EU  </w:t>
      </w:r>
    </w:p>
    <w:p w14:paraId="593821F4" w14:textId="1F037F5E" w:rsidR="0072682A" w:rsidRPr="0072682A" w:rsidRDefault="008C000C" w:rsidP="008C000C">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DB3E8" w14:textId="77777777" w:rsidR="00636AA7" w:rsidRDefault="00636AA7">
      <w:r>
        <w:separator/>
      </w:r>
    </w:p>
  </w:endnote>
  <w:endnote w:type="continuationSeparator" w:id="0">
    <w:p w14:paraId="76852051" w14:textId="77777777" w:rsidR="00636AA7" w:rsidRDefault="0063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3EDA00AD" w:rsidR="000E222E" w:rsidRDefault="000E222E">
        <w:pPr>
          <w:pStyle w:val="Pta"/>
          <w:jc w:val="right"/>
        </w:pPr>
        <w:r>
          <w:fldChar w:fldCharType="begin"/>
        </w:r>
        <w:r>
          <w:instrText>PAGE   \* MERGEFORMAT</w:instrText>
        </w:r>
        <w:r>
          <w:fldChar w:fldCharType="separate"/>
        </w:r>
        <w:r w:rsidR="00086263">
          <w:t>17</w:t>
        </w:r>
        <w:r>
          <w:fldChar w:fldCharType="end"/>
        </w:r>
      </w:p>
    </w:sdtContent>
  </w:sdt>
  <w:p w14:paraId="0485358D" w14:textId="77777777" w:rsidR="000E222E" w:rsidRDefault="000E222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0E222E" w:rsidRDefault="000E222E">
    <w:pPr>
      <w:pStyle w:val="Pta"/>
      <w:jc w:val="right"/>
    </w:pPr>
  </w:p>
  <w:p w14:paraId="09DF4F25" w14:textId="77777777" w:rsidR="000E222E" w:rsidRDefault="000E22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0E222E" w:rsidRDefault="000E222E">
        <w:pPr>
          <w:pStyle w:val="Pta"/>
          <w:jc w:val="right"/>
        </w:pPr>
        <w:r>
          <w:fldChar w:fldCharType="begin"/>
        </w:r>
        <w:r>
          <w:instrText>PAGE   \* MERGEFORMAT</w:instrText>
        </w:r>
        <w:r>
          <w:fldChar w:fldCharType="separate"/>
        </w:r>
        <w:r>
          <w:t>1</w:t>
        </w:r>
        <w:r>
          <w:fldChar w:fldCharType="end"/>
        </w:r>
      </w:p>
    </w:sdtContent>
  </w:sdt>
  <w:p w14:paraId="3E2013CB" w14:textId="77777777" w:rsidR="000E222E" w:rsidRDefault="000E222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7661" w14:textId="77777777" w:rsidR="00636AA7" w:rsidRDefault="00636AA7">
      <w:r>
        <w:separator/>
      </w:r>
    </w:p>
  </w:footnote>
  <w:footnote w:type="continuationSeparator" w:id="0">
    <w:p w14:paraId="49388BFF" w14:textId="77777777" w:rsidR="00636AA7" w:rsidRDefault="0063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0E222E" w:rsidRDefault="000E222E" w:rsidP="00283F29">
    <w:pPr>
      <w:pStyle w:val="Hlavika"/>
    </w:pPr>
  </w:p>
  <w:p w14:paraId="220F82DD" w14:textId="77777777" w:rsidR="000E222E" w:rsidRDefault="000E222E" w:rsidP="00283F29">
    <w:pPr>
      <w:pStyle w:val="Hlavika"/>
    </w:pPr>
  </w:p>
  <w:p w14:paraId="481C2BE8" w14:textId="77777777" w:rsidR="000E222E" w:rsidRPr="00283F29" w:rsidRDefault="000E222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7777777" w:rsidR="000E222E" w:rsidRPr="00E93BD0" w:rsidRDefault="000E222E" w:rsidP="00E93BD0">
    <w:pPr>
      <w:pStyle w:val="Hlavika"/>
      <w:jc w:val="right"/>
      <w:rPr>
        <w:rFonts w:ascii="Arial Narrow" w:hAnsi="Arial Narrow"/>
      </w:rPr>
    </w:pPr>
    <w:r w:rsidRPr="00E93BD0">
      <w:rPr>
        <w:rFonts w:ascii="Arial Narrow" w:hAnsi="Arial Narrow"/>
      </w:rPr>
      <w:t>Príloha č.2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0E222E" w:rsidRDefault="000E222E"/>
  <w:p w14:paraId="6F48203C" w14:textId="77777777" w:rsidR="000E222E" w:rsidRDefault="000E222E"/>
  <w:p w14:paraId="3D099BD4" w14:textId="77777777" w:rsidR="000E222E" w:rsidRDefault="000E222E"/>
  <w:p w14:paraId="34ABDB93" w14:textId="77777777" w:rsidR="000E222E" w:rsidRDefault="000E222E"/>
  <w:p w14:paraId="40135BC9" w14:textId="77777777" w:rsidR="000E222E" w:rsidRDefault="000E222E"/>
  <w:p w14:paraId="41B50F80" w14:textId="77777777" w:rsidR="000E222E" w:rsidRDefault="000E222E"/>
  <w:p w14:paraId="5A208767" w14:textId="77777777" w:rsidR="000E222E" w:rsidRDefault="000E222E"/>
  <w:p w14:paraId="2CF75575" w14:textId="77777777" w:rsidR="000E222E" w:rsidRDefault="000E222E"/>
  <w:p w14:paraId="27963795" w14:textId="77777777" w:rsidR="000E222E" w:rsidRDefault="000E222E"/>
  <w:p w14:paraId="48DF0CF2" w14:textId="77777777" w:rsidR="000E222E" w:rsidRDefault="000E222E"/>
  <w:p w14:paraId="30007422" w14:textId="77777777" w:rsidR="000E222E" w:rsidRDefault="000E222E"/>
  <w:p w14:paraId="1C741C7D" w14:textId="77777777" w:rsidR="000E222E" w:rsidRDefault="000E222E"/>
  <w:p w14:paraId="2D759C9C" w14:textId="77777777" w:rsidR="000E222E" w:rsidRDefault="000E222E"/>
  <w:p w14:paraId="1405E52A" w14:textId="77777777" w:rsidR="000E222E" w:rsidRDefault="000E222E"/>
  <w:p w14:paraId="41354397" w14:textId="77777777" w:rsidR="000E222E" w:rsidRDefault="000E222E"/>
  <w:p w14:paraId="336ECEB3" w14:textId="77777777" w:rsidR="000E222E" w:rsidRDefault="000E222E"/>
  <w:p w14:paraId="3CFC7082" w14:textId="77777777" w:rsidR="000E222E" w:rsidRDefault="000E222E"/>
  <w:p w14:paraId="3B751001" w14:textId="77777777" w:rsidR="000E222E" w:rsidRDefault="000E222E"/>
  <w:p w14:paraId="14F3DBF8" w14:textId="77777777" w:rsidR="000E222E" w:rsidRDefault="000E222E"/>
  <w:p w14:paraId="6A4A7842" w14:textId="77777777" w:rsidR="000E222E" w:rsidRDefault="000E222E"/>
  <w:p w14:paraId="45F45A89" w14:textId="77777777" w:rsidR="000E222E" w:rsidRDefault="000E222E"/>
  <w:p w14:paraId="4A421C73" w14:textId="77777777" w:rsidR="000E222E" w:rsidRDefault="000E222E"/>
  <w:p w14:paraId="654A4A15" w14:textId="77777777" w:rsidR="000E222E" w:rsidRDefault="000E222E"/>
  <w:p w14:paraId="6E08ED74" w14:textId="77777777" w:rsidR="000E222E" w:rsidRDefault="000E222E"/>
  <w:p w14:paraId="678A7592" w14:textId="77777777" w:rsidR="000E222E" w:rsidRDefault="000E222E"/>
  <w:p w14:paraId="45CD5AC0" w14:textId="77777777" w:rsidR="000E222E" w:rsidRDefault="000E222E"/>
  <w:p w14:paraId="721F4320" w14:textId="77777777" w:rsidR="000E222E" w:rsidRDefault="000E222E"/>
  <w:p w14:paraId="345F187D" w14:textId="77777777" w:rsidR="000E222E" w:rsidRDefault="000E222E"/>
  <w:p w14:paraId="3F3B429C" w14:textId="77777777" w:rsidR="000E222E" w:rsidRDefault="000E222E"/>
  <w:p w14:paraId="5F773449" w14:textId="77777777" w:rsidR="000E222E" w:rsidRDefault="000E222E"/>
  <w:p w14:paraId="7B1DB7A5" w14:textId="77777777" w:rsidR="000E222E" w:rsidRDefault="000E222E"/>
  <w:p w14:paraId="3E1B410F" w14:textId="77777777" w:rsidR="000E222E" w:rsidRDefault="000E222E"/>
  <w:p w14:paraId="369BA9B4" w14:textId="77777777" w:rsidR="000E222E" w:rsidRDefault="000E222E"/>
  <w:p w14:paraId="0CCA1C49" w14:textId="77777777" w:rsidR="000E222E" w:rsidRDefault="000E222E"/>
  <w:p w14:paraId="40ABD158" w14:textId="77777777" w:rsidR="000E222E" w:rsidRDefault="000E222E"/>
  <w:p w14:paraId="1A8AF8FC" w14:textId="77777777" w:rsidR="000E222E" w:rsidRDefault="000E222E"/>
  <w:p w14:paraId="607E911E" w14:textId="77777777" w:rsidR="000E222E" w:rsidRDefault="000E222E"/>
  <w:p w14:paraId="7292273A" w14:textId="77777777" w:rsidR="000E222E" w:rsidRDefault="000E222E"/>
  <w:p w14:paraId="6BF7DB85" w14:textId="77777777" w:rsidR="000E222E" w:rsidRDefault="000E222E"/>
  <w:p w14:paraId="1EAD7C79" w14:textId="77777777" w:rsidR="000E222E" w:rsidRDefault="000E222E"/>
  <w:p w14:paraId="008CEAE1" w14:textId="77777777" w:rsidR="000E222E" w:rsidRDefault="000E222E"/>
  <w:p w14:paraId="391B60B4" w14:textId="77777777" w:rsidR="000E222E" w:rsidRDefault="000E222E"/>
  <w:p w14:paraId="6A599E40" w14:textId="77777777" w:rsidR="000E222E" w:rsidRDefault="000E222E"/>
  <w:p w14:paraId="0B18DFC9" w14:textId="77777777" w:rsidR="000E222E" w:rsidRDefault="000E222E"/>
  <w:p w14:paraId="544DD006" w14:textId="77777777" w:rsidR="000E222E" w:rsidRDefault="000E222E"/>
  <w:p w14:paraId="48326440" w14:textId="77777777" w:rsidR="000E222E" w:rsidRDefault="000E222E"/>
  <w:p w14:paraId="503CBE92" w14:textId="77777777" w:rsidR="000E222E" w:rsidRDefault="000E222E"/>
  <w:p w14:paraId="4567C047" w14:textId="77777777" w:rsidR="000E222E" w:rsidRDefault="000E222E"/>
  <w:p w14:paraId="38484A72" w14:textId="77777777" w:rsidR="000E222E" w:rsidRDefault="000E222E"/>
  <w:p w14:paraId="485CCB69" w14:textId="77777777" w:rsidR="000E222E" w:rsidRDefault="000E222E"/>
  <w:p w14:paraId="2AF44660" w14:textId="77777777" w:rsidR="000E222E" w:rsidRDefault="000E222E"/>
  <w:p w14:paraId="783C926F" w14:textId="77777777" w:rsidR="000E222E" w:rsidRDefault="000E222E"/>
  <w:p w14:paraId="46CAAA0E" w14:textId="77777777" w:rsidR="000E222E" w:rsidRDefault="000E222E"/>
  <w:p w14:paraId="67EAAD21" w14:textId="77777777" w:rsidR="000E222E" w:rsidRDefault="000E222E"/>
  <w:p w14:paraId="3100C738" w14:textId="77777777" w:rsidR="000E222E" w:rsidRDefault="000E222E"/>
  <w:p w14:paraId="05E78F55" w14:textId="77777777" w:rsidR="000E222E" w:rsidRDefault="000E222E"/>
  <w:p w14:paraId="1F725725" w14:textId="77777777" w:rsidR="000E222E" w:rsidRDefault="000E222E"/>
  <w:p w14:paraId="0085E0D1" w14:textId="77777777" w:rsidR="000E222E" w:rsidRDefault="000E222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3353" w14:textId="77777777" w:rsidR="000E222E" w:rsidRDefault="000E222E">
    <w:pPr>
      <w:pStyle w:val="Pta"/>
      <w:ind w:right="-82"/>
      <w:jc w:val="both"/>
      <w:rPr>
        <w:rFonts w:cs="Arial"/>
        <w:sz w:val="2"/>
        <w:szCs w:val="2"/>
        <w:highlight w:val="lightGray"/>
      </w:rPr>
    </w:pPr>
  </w:p>
  <w:p w14:paraId="3B27F359" w14:textId="77777777" w:rsidR="000E222E" w:rsidRDefault="000E222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0E222E" w:rsidRDefault="000E222E">
    <w:pPr>
      <w:pStyle w:val="Hlavika"/>
      <w:rPr>
        <w:rFonts w:cs="Arial"/>
        <w:sz w:val="10"/>
        <w:szCs w:val="10"/>
      </w:rPr>
    </w:pPr>
  </w:p>
  <w:p w14:paraId="339F3096" w14:textId="77777777" w:rsidR="000E222E" w:rsidRDefault="000E222E">
    <w:pPr>
      <w:pStyle w:val="Hlavika"/>
      <w:rPr>
        <w:rFonts w:cs="Arial"/>
        <w:sz w:val="10"/>
        <w:szCs w:val="10"/>
      </w:rPr>
    </w:pPr>
  </w:p>
  <w:p w14:paraId="7D17B2A5" w14:textId="77777777" w:rsidR="000E222E" w:rsidRDefault="000E222E">
    <w:pPr>
      <w:pStyle w:val="Hlavika"/>
      <w:rPr>
        <w:rFonts w:cs="Arial"/>
        <w:sz w:val="10"/>
        <w:szCs w:val="10"/>
      </w:rPr>
    </w:pPr>
  </w:p>
  <w:p w14:paraId="112D6113" w14:textId="77777777" w:rsidR="000E222E" w:rsidRDefault="000E222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2"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3"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4"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6"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7"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1"/>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3"/>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2"/>
  </w:num>
  <w:num w:numId="101">
    <w:abstractNumId w:val="112"/>
  </w:num>
  <w:num w:numId="102">
    <w:abstractNumId w:val="109"/>
  </w:num>
  <w:num w:numId="103">
    <w:abstractNumId w:val="123"/>
  </w:num>
  <w:num w:numId="104">
    <w:abstractNumId w:val="137"/>
  </w:num>
  <w:num w:numId="105">
    <w:abstractNumId w:val="125"/>
  </w:num>
  <w:num w:numId="106">
    <w:abstractNumId w:val="117"/>
  </w:num>
  <w:num w:numId="107">
    <w:abstractNumId w:val="136"/>
  </w:num>
  <w:num w:numId="108">
    <w:abstractNumId w:val="120"/>
  </w:num>
  <w:num w:numId="109">
    <w:abstractNumId w:val="126"/>
  </w:num>
  <w:num w:numId="110">
    <w:abstractNumId w:val="108"/>
  </w:num>
  <w:num w:numId="111">
    <w:abstractNumId w:val="118"/>
  </w:num>
  <w:num w:numId="112">
    <w:abstractNumId w:val="134"/>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0"/>
  </w:num>
  <w:num w:numId="120">
    <w:abstractNumId w:val="102"/>
  </w:num>
  <w:num w:numId="121">
    <w:abstractNumId w:val="106"/>
  </w:num>
  <w:num w:numId="122">
    <w:abstractNumId w:val="116"/>
  </w:num>
  <w:num w:numId="123">
    <w:abstractNumId w:val="1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34D5"/>
    <w:rsid w:val="0000577E"/>
    <w:rsid w:val="00006970"/>
    <w:rsid w:val="00012740"/>
    <w:rsid w:val="0001468B"/>
    <w:rsid w:val="00016A13"/>
    <w:rsid w:val="00024F2E"/>
    <w:rsid w:val="000314E5"/>
    <w:rsid w:val="0003302D"/>
    <w:rsid w:val="00037B2B"/>
    <w:rsid w:val="00040DAD"/>
    <w:rsid w:val="00046C5D"/>
    <w:rsid w:val="0005217B"/>
    <w:rsid w:val="00052221"/>
    <w:rsid w:val="00060BD6"/>
    <w:rsid w:val="000621E2"/>
    <w:rsid w:val="00073BF6"/>
    <w:rsid w:val="00086263"/>
    <w:rsid w:val="0009545B"/>
    <w:rsid w:val="000A4539"/>
    <w:rsid w:val="000A6EC3"/>
    <w:rsid w:val="000C6D5F"/>
    <w:rsid w:val="000D1757"/>
    <w:rsid w:val="000E1CC8"/>
    <w:rsid w:val="000E222E"/>
    <w:rsid w:val="000F1FB3"/>
    <w:rsid w:val="000F2BCB"/>
    <w:rsid w:val="000F53E3"/>
    <w:rsid w:val="00123C2E"/>
    <w:rsid w:val="00125FC9"/>
    <w:rsid w:val="00127F2E"/>
    <w:rsid w:val="0014584D"/>
    <w:rsid w:val="001668BC"/>
    <w:rsid w:val="00167993"/>
    <w:rsid w:val="0017008F"/>
    <w:rsid w:val="00170286"/>
    <w:rsid w:val="00176BEE"/>
    <w:rsid w:val="00180F70"/>
    <w:rsid w:val="001818EA"/>
    <w:rsid w:val="00192BC1"/>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2526"/>
    <w:rsid w:val="0025615C"/>
    <w:rsid w:val="002561D9"/>
    <w:rsid w:val="00257C82"/>
    <w:rsid w:val="0026197B"/>
    <w:rsid w:val="00271B9D"/>
    <w:rsid w:val="00274A61"/>
    <w:rsid w:val="00283F29"/>
    <w:rsid w:val="0029619D"/>
    <w:rsid w:val="002A2D35"/>
    <w:rsid w:val="002B227D"/>
    <w:rsid w:val="002B396E"/>
    <w:rsid w:val="002C4F13"/>
    <w:rsid w:val="002C7647"/>
    <w:rsid w:val="002D0577"/>
    <w:rsid w:val="002D0C31"/>
    <w:rsid w:val="002D67C7"/>
    <w:rsid w:val="002F31D8"/>
    <w:rsid w:val="002F4A62"/>
    <w:rsid w:val="00301A33"/>
    <w:rsid w:val="0030210E"/>
    <w:rsid w:val="00302D8C"/>
    <w:rsid w:val="00302F72"/>
    <w:rsid w:val="00303BF4"/>
    <w:rsid w:val="00310921"/>
    <w:rsid w:val="00320F59"/>
    <w:rsid w:val="003301BA"/>
    <w:rsid w:val="00330DE2"/>
    <w:rsid w:val="00331868"/>
    <w:rsid w:val="003401A1"/>
    <w:rsid w:val="003402C2"/>
    <w:rsid w:val="0034592B"/>
    <w:rsid w:val="00346DA3"/>
    <w:rsid w:val="003657F7"/>
    <w:rsid w:val="00367604"/>
    <w:rsid w:val="003731B1"/>
    <w:rsid w:val="00382400"/>
    <w:rsid w:val="00385732"/>
    <w:rsid w:val="00391D73"/>
    <w:rsid w:val="0039688E"/>
    <w:rsid w:val="003C3C2A"/>
    <w:rsid w:val="003E5EDD"/>
    <w:rsid w:val="003F47DA"/>
    <w:rsid w:val="00406F2B"/>
    <w:rsid w:val="004133B4"/>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7EDF"/>
    <w:rsid w:val="004C212B"/>
    <w:rsid w:val="004C3214"/>
    <w:rsid w:val="004C3773"/>
    <w:rsid w:val="004C4022"/>
    <w:rsid w:val="004C621A"/>
    <w:rsid w:val="004D3704"/>
    <w:rsid w:val="004E3088"/>
    <w:rsid w:val="004E6F28"/>
    <w:rsid w:val="004F0277"/>
    <w:rsid w:val="004F3B82"/>
    <w:rsid w:val="004F5C0F"/>
    <w:rsid w:val="004F7E1F"/>
    <w:rsid w:val="00501110"/>
    <w:rsid w:val="00504E93"/>
    <w:rsid w:val="005165EE"/>
    <w:rsid w:val="0052662F"/>
    <w:rsid w:val="00527440"/>
    <w:rsid w:val="00545BA0"/>
    <w:rsid w:val="0055031E"/>
    <w:rsid w:val="00562D4D"/>
    <w:rsid w:val="0057113C"/>
    <w:rsid w:val="00580447"/>
    <w:rsid w:val="00592A2A"/>
    <w:rsid w:val="00593523"/>
    <w:rsid w:val="00594D0D"/>
    <w:rsid w:val="005A27F5"/>
    <w:rsid w:val="005A44E9"/>
    <w:rsid w:val="005A627A"/>
    <w:rsid w:val="005B0684"/>
    <w:rsid w:val="005B3A9D"/>
    <w:rsid w:val="005C02EC"/>
    <w:rsid w:val="005C3B62"/>
    <w:rsid w:val="005D32B3"/>
    <w:rsid w:val="005F77DC"/>
    <w:rsid w:val="00603C07"/>
    <w:rsid w:val="00614972"/>
    <w:rsid w:val="0061759A"/>
    <w:rsid w:val="006234AB"/>
    <w:rsid w:val="0062670B"/>
    <w:rsid w:val="00627209"/>
    <w:rsid w:val="00631DAB"/>
    <w:rsid w:val="00636AA7"/>
    <w:rsid w:val="00637399"/>
    <w:rsid w:val="006441BC"/>
    <w:rsid w:val="006443B3"/>
    <w:rsid w:val="00655532"/>
    <w:rsid w:val="00667B54"/>
    <w:rsid w:val="00686EFB"/>
    <w:rsid w:val="006A3D0C"/>
    <w:rsid w:val="006A6A27"/>
    <w:rsid w:val="006A6B51"/>
    <w:rsid w:val="006B3C88"/>
    <w:rsid w:val="006B455F"/>
    <w:rsid w:val="006B5632"/>
    <w:rsid w:val="006B752E"/>
    <w:rsid w:val="006C11D5"/>
    <w:rsid w:val="006C1434"/>
    <w:rsid w:val="006C4057"/>
    <w:rsid w:val="006C646A"/>
    <w:rsid w:val="006D23E7"/>
    <w:rsid w:val="006D72EB"/>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364D"/>
    <w:rsid w:val="00763677"/>
    <w:rsid w:val="007714AC"/>
    <w:rsid w:val="00775CF3"/>
    <w:rsid w:val="0078180E"/>
    <w:rsid w:val="007851CB"/>
    <w:rsid w:val="00790EF9"/>
    <w:rsid w:val="0079564E"/>
    <w:rsid w:val="007A2D86"/>
    <w:rsid w:val="007A491F"/>
    <w:rsid w:val="007B534D"/>
    <w:rsid w:val="007B5738"/>
    <w:rsid w:val="007C14AD"/>
    <w:rsid w:val="007D5DE8"/>
    <w:rsid w:val="007D65BA"/>
    <w:rsid w:val="007D67A3"/>
    <w:rsid w:val="007E4B40"/>
    <w:rsid w:val="007F0B64"/>
    <w:rsid w:val="007F1DB5"/>
    <w:rsid w:val="007F5934"/>
    <w:rsid w:val="008033C1"/>
    <w:rsid w:val="00811278"/>
    <w:rsid w:val="0082065D"/>
    <w:rsid w:val="00832468"/>
    <w:rsid w:val="00844F0B"/>
    <w:rsid w:val="008455A1"/>
    <w:rsid w:val="00855A28"/>
    <w:rsid w:val="008615CC"/>
    <w:rsid w:val="0086222C"/>
    <w:rsid w:val="00865FDC"/>
    <w:rsid w:val="00867990"/>
    <w:rsid w:val="00883467"/>
    <w:rsid w:val="008A694B"/>
    <w:rsid w:val="008B3454"/>
    <w:rsid w:val="008C000C"/>
    <w:rsid w:val="008C2B4C"/>
    <w:rsid w:val="008C56DE"/>
    <w:rsid w:val="008D3095"/>
    <w:rsid w:val="008E0DFA"/>
    <w:rsid w:val="008E7B62"/>
    <w:rsid w:val="008F2F61"/>
    <w:rsid w:val="00902170"/>
    <w:rsid w:val="00902215"/>
    <w:rsid w:val="00902E17"/>
    <w:rsid w:val="00903A21"/>
    <w:rsid w:val="009047FA"/>
    <w:rsid w:val="00915447"/>
    <w:rsid w:val="00915AEB"/>
    <w:rsid w:val="00915F12"/>
    <w:rsid w:val="009160A4"/>
    <w:rsid w:val="0091641B"/>
    <w:rsid w:val="00917657"/>
    <w:rsid w:val="009202BE"/>
    <w:rsid w:val="00921C7F"/>
    <w:rsid w:val="00923AB6"/>
    <w:rsid w:val="009254A2"/>
    <w:rsid w:val="009400BE"/>
    <w:rsid w:val="00942BB9"/>
    <w:rsid w:val="009452D7"/>
    <w:rsid w:val="009621DA"/>
    <w:rsid w:val="00963A94"/>
    <w:rsid w:val="009717FF"/>
    <w:rsid w:val="00974BFC"/>
    <w:rsid w:val="009829D8"/>
    <w:rsid w:val="0098485A"/>
    <w:rsid w:val="00985A4D"/>
    <w:rsid w:val="009954BC"/>
    <w:rsid w:val="009A2B57"/>
    <w:rsid w:val="009A2C72"/>
    <w:rsid w:val="009A5723"/>
    <w:rsid w:val="009B55FB"/>
    <w:rsid w:val="009B5A9F"/>
    <w:rsid w:val="009C124E"/>
    <w:rsid w:val="009D0018"/>
    <w:rsid w:val="009D0429"/>
    <w:rsid w:val="009D4F40"/>
    <w:rsid w:val="009E2408"/>
    <w:rsid w:val="009E3145"/>
    <w:rsid w:val="009F5F9B"/>
    <w:rsid w:val="009F797A"/>
    <w:rsid w:val="00A0470F"/>
    <w:rsid w:val="00A15313"/>
    <w:rsid w:val="00A17E43"/>
    <w:rsid w:val="00A33763"/>
    <w:rsid w:val="00A4449C"/>
    <w:rsid w:val="00A452F8"/>
    <w:rsid w:val="00A52A20"/>
    <w:rsid w:val="00A52DC4"/>
    <w:rsid w:val="00A56ECB"/>
    <w:rsid w:val="00A63CDE"/>
    <w:rsid w:val="00A76892"/>
    <w:rsid w:val="00A8023C"/>
    <w:rsid w:val="00A81A28"/>
    <w:rsid w:val="00AA299A"/>
    <w:rsid w:val="00AA2C2D"/>
    <w:rsid w:val="00AA5AC0"/>
    <w:rsid w:val="00AB0CAC"/>
    <w:rsid w:val="00AC4003"/>
    <w:rsid w:val="00AC409B"/>
    <w:rsid w:val="00AD5552"/>
    <w:rsid w:val="00AE170F"/>
    <w:rsid w:val="00AE781A"/>
    <w:rsid w:val="00AF4067"/>
    <w:rsid w:val="00B00F71"/>
    <w:rsid w:val="00B04FD7"/>
    <w:rsid w:val="00B059DE"/>
    <w:rsid w:val="00B10601"/>
    <w:rsid w:val="00B24CA5"/>
    <w:rsid w:val="00B255C8"/>
    <w:rsid w:val="00B3668E"/>
    <w:rsid w:val="00B50D07"/>
    <w:rsid w:val="00B55033"/>
    <w:rsid w:val="00B5589B"/>
    <w:rsid w:val="00B55F48"/>
    <w:rsid w:val="00B63B13"/>
    <w:rsid w:val="00B63FFE"/>
    <w:rsid w:val="00B71338"/>
    <w:rsid w:val="00B7263C"/>
    <w:rsid w:val="00B77D96"/>
    <w:rsid w:val="00B90B86"/>
    <w:rsid w:val="00B92AEC"/>
    <w:rsid w:val="00B939CD"/>
    <w:rsid w:val="00B94A25"/>
    <w:rsid w:val="00B960D3"/>
    <w:rsid w:val="00BA3F7F"/>
    <w:rsid w:val="00BB4275"/>
    <w:rsid w:val="00BE0035"/>
    <w:rsid w:val="00BE11C9"/>
    <w:rsid w:val="00BE1B38"/>
    <w:rsid w:val="00BE68F4"/>
    <w:rsid w:val="00BE761A"/>
    <w:rsid w:val="00BF0733"/>
    <w:rsid w:val="00BF117F"/>
    <w:rsid w:val="00BF4E7C"/>
    <w:rsid w:val="00BF5710"/>
    <w:rsid w:val="00BF5B3D"/>
    <w:rsid w:val="00C02027"/>
    <w:rsid w:val="00C025A1"/>
    <w:rsid w:val="00C028ED"/>
    <w:rsid w:val="00C10A34"/>
    <w:rsid w:val="00C22A4E"/>
    <w:rsid w:val="00C22F5E"/>
    <w:rsid w:val="00C27872"/>
    <w:rsid w:val="00C4003F"/>
    <w:rsid w:val="00C40C86"/>
    <w:rsid w:val="00C45D10"/>
    <w:rsid w:val="00C4661A"/>
    <w:rsid w:val="00C4674A"/>
    <w:rsid w:val="00C52873"/>
    <w:rsid w:val="00C61362"/>
    <w:rsid w:val="00C6552D"/>
    <w:rsid w:val="00C93263"/>
    <w:rsid w:val="00C93EE6"/>
    <w:rsid w:val="00CA4825"/>
    <w:rsid w:val="00CB3C4D"/>
    <w:rsid w:val="00CD4D86"/>
    <w:rsid w:val="00CD4DCF"/>
    <w:rsid w:val="00CD5A04"/>
    <w:rsid w:val="00CE06C1"/>
    <w:rsid w:val="00CE286D"/>
    <w:rsid w:val="00CE745C"/>
    <w:rsid w:val="00CF1AC9"/>
    <w:rsid w:val="00CF47CE"/>
    <w:rsid w:val="00D06C91"/>
    <w:rsid w:val="00D30E7B"/>
    <w:rsid w:val="00D50528"/>
    <w:rsid w:val="00D52370"/>
    <w:rsid w:val="00D565D1"/>
    <w:rsid w:val="00D64C1F"/>
    <w:rsid w:val="00D650B6"/>
    <w:rsid w:val="00D774B6"/>
    <w:rsid w:val="00D776B3"/>
    <w:rsid w:val="00D833CE"/>
    <w:rsid w:val="00D971E9"/>
    <w:rsid w:val="00DA0C44"/>
    <w:rsid w:val="00DB2BB5"/>
    <w:rsid w:val="00DB4A9C"/>
    <w:rsid w:val="00DB6558"/>
    <w:rsid w:val="00DC0D5D"/>
    <w:rsid w:val="00DC2687"/>
    <w:rsid w:val="00DC3289"/>
    <w:rsid w:val="00DC6CC8"/>
    <w:rsid w:val="00DD04F6"/>
    <w:rsid w:val="00DD0B59"/>
    <w:rsid w:val="00DD3BC5"/>
    <w:rsid w:val="00DD6970"/>
    <w:rsid w:val="00DE03A6"/>
    <w:rsid w:val="00DF5B83"/>
    <w:rsid w:val="00E102A2"/>
    <w:rsid w:val="00E1219A"/>
    <w:rsid w:val="00E2442A"/>
    <w:rsid w:val="00E31497"/>
    <w:rsid w:val="00E33218"/>
    <w:rsid w:val="00E33DDD"/>
    <w:rsid w:val="00E41851"/>
    <w:rsid w:val="00E62E01"/>
    <w:rsid w:val="00E67712"/>
    <w:rsid w:val="00E809F0"/>
    <w:rsid w:val="00E82C75"/>
    <w:rsid w:val="00E83847"/>
    <w:rsid w:val="00E84654"/>
    <w:rsid w:val="00E85445"/>
    <w:rsid w:val="00E85D41"/>
    <w:rsid w:val="00E93BD0"/>
    <w:rsid w:val="00E94F2C"/>
    <w:rsid w:val="00E975CD"/>
    <w:rsid w:val="00EB3EFA"/>
    <w:rsid w:val="00EC1F6B"/>
    <w:rsid w:val="00F021FF"/>
    <w:rsid w:val="00F0352C"/>
    <w:rsid w:val="00F073F1"/>
    <w:rsid w:val="00F13500"/>
    <w:rsid w:val="00F32521"/>
    <w:rsid w:val="00F33454"/>
    <w:rsid w:val="00F637E7"/>
    <w:rsid w:val="00F66D4F"/>
    <w:rsid w:val="00F7044D"/>
    <w:rsid w:val="00F7139A"/>
    <w:rsid w:val="00F84F69"/>
    <w:rsid w:val="00F86A27"/>
    <w:rsid w:val="00F91354"/>
    <w:rsid w:val="00FA28DE"/>
    <w:rsid w:val="00FA3CC1"/>
    <w:rsid w:val="00FA4D83"/>
    <w:rsid w:val="00FA66FC"/>
    <w:rsid w:val="00FB46FE"/>
    <w:rsid w:val="00FB5413"/>
    <w:rsid w:val="00FC3F42"/>
    <w:rsid w:val="00FC5074"/>
    <w:rsid w:val="00FD24F5"/>
    <w:rsid w:val="00FD5DB3"/>
    <w:rsid w:val="00FE074F"/>
    <w:rsid w:val="00FE1A6C"/>
    <w:rsid w:val="00FE3F54"/>
    <w:rsid w:val="00FF015D"/>
    <w:rsid w:val="00FF1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528F-4A39-477D-88DF-72E17D3E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10404</Words>
  <Characters>59303</Characters>
  <Application>Microsoft Office Word</Application>
  <DocSecurity>0</DocSecurity>
  <Lines>494</Lines>
  <Paragraphs>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69568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Beáta Škanderová</cp:lastModifiedBy>
  <cp:revision>28</cp:revision>
  <cp:lastPrinted>2022-04-28T12:58:00Z</cp:lastPrinted>
  <dcterms:created xsi:type="dcterms:W3CDTF">2022-02-08T10:06:00Z</dcterms:created>
  <dcterms:modified xsi:type="dcterms:W3CDTF">2022-04-29T07:12:00Z</dcterms:modified>
</cp:coreProperties>
</file>