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7F4" w:rsidRPr="002E7B57" w:rsidRDefault="004657F4" w:rsidP="004657F4">
      <w:pPr>
        <w:tabs>
          <w:tab w:val="num" w:pos="1080"/>
          <w:tab w:val="left" w:leader="dot" w:pos="10034"/>
        </w:tabs>
        <w:spacing w:before="120"/>
        <w:jc w:val="right"/>
        <w:rPr>
          <w:rFonts w:ascii="Arial Narrow" w:hAnsi="Arial Narrow" w:cs="Arial"/>
        </w:rPr>
      </w:pPr>
      <w:bookmarkStart w:id="0" w:name="_GoBack"/>
      <w:r w:rsidRPr="002E7B57">
        <w:rPr>
          <w:rFonts w:ascii="Arial Narrow" w:hAnsi="Arial Narrow" w:cs="Arial"/>
        </w:rPr>
        <w:t xml:space="preserve">Príloha č. </w:t>
      </w:r>
      <w:r>
        <w:rPr>
          <w:rFonts w:ascii="Arial Narrow" w:hAnsi="Arial Narrow" w:cs="Arial"/>
        </w:rPr>
        <w:t>6</w:t>
      </w:r>
      <w:r w:rsidRPr="002E7B57">
        <w:rPr>
          <w:rFonts w:ascii="Arial Narrow" w:hAnsi="Arial Narrow" w:cs="Arial"/>
        </w:rPr>
        <w:t xml:space="preserve"> súťažných podkladov – </w:t>
      </w:r>
      <w:r w:rsidRPr="005F28E8">
        <w:rPr>
          <w:rFonts w:ascii="Arial Narrow" w:hAnsi="Arial Narrow" w:cs="Arial"/>
        </w:rPr>
        <w:t>Návrh centrálnej rámcovej dohody</w:t>
      </w:r>
    </w:p>
    <w:bookmarkEnd w:id="0"/>
    <w:p w:rsidR="004657F4" w:rsidRPr="002E7B57" w:rsidRDefault="004657F4" w:rsidP="004657F4">
      <w:pPr>
        <w:tabs>
          <w:tab w:val="clear" w:pos="2160"/>
          <w:tab w:val="clear" w:pos="2880"/>
          <w:tab w:val="clear" w:pos="4500"/>
        </w:tabs>
        <w:jc w:val="right"/>
        <w:rPr>
          <w:rFonts w:ascii="Arial Narrow" w:hAnsi="Arial Narrow" w:cs="Arial"/>
        </w:rPr>
      </w:pPr>
    </w:p>
    <w:p w:rsidR="004657F4" w:rsidRPr="002E7B57" w:rsidRDefault="004657F4" w:rsidP="004657F4">
      <w:pPr>
        <w:jc w:val="center"/>
        <w:rPr>
          <w:rFonts w:ascii="Arial Narrow" w:hAnsi="Arial Narrow" w:cs="Calibri"/>
          <w:b/>
          <w:bCs/>
        </w:rPr>
      </w:pPr>
      <w:r w:rsidRPr="002E7B57">
        <w:rPr>
          <w:rFonts w:ascii="Arial Narrow" w:hAnsi="Arial Narrow" w:cs="Calibri"/>
          <w:b/>
          <w:bCs/>
        </w:rPr>
        <w:t>CENTRÁLNA RÁMCOVÁ DOHODA NA DODÁVKU LICENCIÍ A LICENČNEJ PODPORY TALEND</w:t>
      </w:r>
    </w:p>
    <w:p w:rsidR="004657F4" w:rsidRPr="002E7B57" w:rsidRDefault="004657F4" w:rsidP="004657F4">
      <w:pPr>
        <w:ind w:left="360" w:hanging="360"/>
        <w:jc w:val="center"/>
        <w:rPr>
          <w:rFonts w:ascii="Arial Narrow" w:hAnsi="Arial Narrow" w:cs="Calibri"/>
          <w:b/>
          <w:bCs/>
        </w:rPr>
      </w:pPr>
      <w:r w:rsidRPr="002E7B57">
        <w:rPr>
          <w:rFonts w:ascii="Arial Narrow" w:hAnsi="Arial Narrow" w:cs="Calibri"/>
          <w:b/>
          <w:bCs/>
        </w:rPr>
        <w:t>č. 2018/117</w:t>
      </w:r>
    </w:p>
    <w:p w:rsidR="004657F4" w:rsidRPr="002E7B57" w:rsidRDefault="004657F4" w:rsidP="004657F4">
      <w:pPr>
        <w:spacing w:after="40"/>
        <w:jc w:val="center"/>
        <w:rPr>
          <w:rFonts w:ascii="Arial Narrow" w:hAnsi="Arial Narrow" w:cs="Calibri"/>
          <w:b/>
          <w:bCs/>
        </w:rPr>
      </w:pPr>
      <w:r w:rsidRPr="002E7B57">
        <w:rPr>
          <w:rFonts w:ascii="Arial Narrow" w:hAnsi="Arial Narrow" w:cs="Calibri"/>
          <w:b/>
          <w:bCs/>
        </w:rPr>
        <w:t xml:space="preserve">uzatvorená podľa </w:t>
      </w:r>
      <w:proofErr w:type="spellStart"/>
      <w:r w:rsidRPr="002E7B57">
        <w:rPr>
          <w:rFonts w:ascii="Arial Narrow" w:hAnsi="Arial Narrow" w:cs="Calibri"/>
          <w:b/>
          <w:bCs/>
        </w:rPr>
        <w:t>ust</w:t>
      </w:r>
      <w:proofErr w:type="spellEnd"/>
      <w:r w:rsidRPr="002E7B57">
        <w:rPr>
          <w:rFonts w:ascii="Arial Narrow" w:hAnsi="Arial Narrow" w:cs="Calibri"/>
          <w:b/>
          <w:bCs/>
        </w:rPr>
        <w:t>. §269 ods. 2 Obchodného zákonníka</w:t>
      </w:r>
    </w:p>
    <w:p w:rsidR="004657F4" w:rsidRPr="002E7B57" w:rsidRDefault="004657F4" w:rsidP="004657F4">
      <w:pPr>
        <w:jc w:val="center"/>
        <w:rPr>
          <w:rFonts w:ascii="Arial Narrow" w:hAnsi="Arial Narrow" w:cs="Calibri"/>
          <w:bCs/>
        </w:rPr>
      </w:pPr>
      <w:r w:rsidRPr="002E7B57">
        <w:rPr>
          <w:rFonts w:ascii="Arial Narrow" w:hAnsi="Arial Narrow" w:cs="Calibri"/>
          <w:bCs/>
        </w:rPr>
        <w:t>(ďalej len „rámcová dohoda“ alebo „dohoda“)</w:t>
      </w:r>
    </w:p>
    <w:p w:rsidR="004657F4" w:rsidRPr="002E7B57" w:rsidRDefault="004657F4" w:rsidP="004657F4">
      <w:pPr>
        <w:ind w:left="2880" w:firstLine="720"/>
        <w:rPr>
          <w:rFonts w:ascii="Arial Narrow" w:hAnsi="Arial Narrow" w:cs="Calibri"/>
        </w:rPr>
      </w:pPr>
    </w:p>
    <w:p w:rsidR="004657F4" w:rsidRPr="002E7B57" w:rsidRDefault="004657F4" w:rsidP="004657F4">
      <w:pPr>
        <w:jc w:val="right"/>
        <w:rPr>
          <w:rFonts w:ascii="Arial Narrow" w:hAnsi="Arial Narrow" w:cs="Calibri"/>
        </w:rPr>
      </w:pPr>
      <w:r w:rsidRPr="002E7B57">
        <w:rPr>
          <w:rFonts w:ascii="Arial Narrow" w:hAnsi="Arial Narrow" w:cs="Calibri"/>
        </w:rPr>
        <w:t>Číslo dohody MF SR: 2018/117</w:t>
      </w:r>
    </w:p>
    <w:p w:rsidR="004657F4" w:rsidRPr="002E7B57" w:rsidRDefault="004657F4" w:rsidP="004657F4">
      <w:pPr>
        <w:jc w:val="center"/>
        <w:rPr>
          <w:rFonts w:ascii="Arial Narrow" w:hAnsi="Arial Narrow" w:cs="Calibri"/>
          <w:b/>
          <w:bCs/>
        </w:rPr>
      </w:pPr>
      <w:r w:rsidRPr="002E7B57">
        <w:rPr>
          <w:rFonts w:ascii="Arial Narrow" w:hAnsi="Arial Narrow" w:cs="Calibri"/>
          <w:b/>
          <w:bCs/>
        </w:rPr>
        <w:t xml:space="preserve">ZMLUVNÉ STRANY </w:t>
      </w:r>
    </w:p>
    <w:p w:rsidR="004657F4" w:rsidRPr="002E7B57" w:rsidRDefault="004657F4" w:rsidP="004657F4">
      <w:pPr>
        <w:jc w:val="center"/>
        <w:rPr>
          <w:rFonts w:ascii="Arial Narrow" w:hAnsi="Arial Narrow" w:cs="Calibri"/>
          <w:b/>
          <w:bCs/>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b/>
                <w:bCs/>
              </w:rPr>
            </w:pPr>
            <w:r w:rsidRPr="002E7B57">
              <w:rPr>
                <w:rFonts w:ascii="Arial Narrow" w:hAnsi="Arial Narrow" w:cs="Calibri"/>
                <w:b/>
                <w:bCs/>
              </w:rPr>
              <w:t>Poskytovateľ</w:t>
            </w:r>
            <w:r w:rsidRPr="002E7B57">
              <w:rPr>
                <w:rFonts w:ascii="Arial Narrow" w:hAnsi="Arial Narrow" w:cs="Calibri"/>
              </w:rPr>
              <w:t>:</w:t>
            </w:r>
          </w:p>
        </w:tc>
        <w:tc>
          <w:tcPr>
            <w:tcW w:w="6601" w:type="dxa"/>
            <w:tcBorders>
              <w:top w:val="nil"/>
              <w:left w:val="nil"/>
              <w:bottom w:val="nil"/>
              <w:right w:val="nil"/>
            </w:tcBorders>
          </w:tcPr>
          <w:p w:rsidR="004657F4" w:rsidRPr="002E7B57" w:rsidRDefault="004657F4" w:rsidP="00E127E0">
            <w:pPr>
              <w:pStyle w:val="ABLOCKPARA"/>
              <w:tabs>
                <w:tab w:val="right" w:pos="426"/>
              </w:tabs>
              <w:ind w:firstLine="0"/>
              <w:rPr>
                <w:rFonts w:ascii="Arial Narrow" w:hAnsi="Arial Narrow" w:cs="Calibri"/>
                <w:b/>
                <w:bCs/>
                <w:lang w:val="sk-SK"/>
              </w:rPr>
            </w:pPr>
            <w:r w:rsidRPr="002E7B57">
              <w:rPr>
                <w:rFonts w:ascii="Arial Narrow" w:hAnsi="Arial Narrow" w:cs="Calibri"/>
                <w:b/>
                <w:bCs/>
                <w:lang w:val="sk-SK"/>
              </w:rPr>
              <w:t xml:space="preserve">         ......................................................................</w:t>
            </w:r>
          </w:p>
        </w:tc>
      </w:tr>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Sídlo:</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konajúci prostredníctvom:</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r w:rsidR="004657F4" w:rsidRPr="002E7B57" w:rsidTr="00E127E0">
        <w:trPr>
          <w:cantSplit/>
          <w:trHeight w:val="243"/>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Bank. spojenie:</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Číslo účtu (IBAN):</w:t>
            </w:r>
          </w:p>
        </w:tc>
        <w:tc>
          <w:tcPr>
            <w:tcW w:w="6601" w:type="dxa"/>
            <w:tcBorders>
              <w:top w:val="nil"/>
              <w:left w:val="nil"/>
              <w:bottom w:val="nil"/>
              <w:right w:val="nil"/>
            </w:tcBorders>
          </w:tcPr>
          <w:p w:rsidR="004657F4" w:rsidRPr="002E7B57" w:rsidRDefault="004657F4" w:rsidP="00E127E0">
            <w:pPr>
              <w:pStyle w:val="ABLOCKPARA"/>
              <w:tabs>
                <w:tab w:val="right" w:pos="426"/>
              </w:tabs>
              <w:rPr>
                <w:rFonts w:ascii="Arial Narrow" w:hAnsi="Arial Narrow" w:cs="Calibri"/>
                <w:lang w:val="sk-SK"/>
              </w:rPr>
            </w:pPr>
            <w:r w:rsidRPr="002E7B57">
              <w:rPr>
                <w:rFonts w:ascii="Arial Narrow" w:hAnsi="Arial Narrow" w:cs="Calibri"/>
                <w:lang w:val="sk-SK"/>
              </w:rPr>
              <w:t xml:space="preserve"> ..........................................................................</w:t>
            </w:r>
          </w:p>
        </w:tc>
      </w:tr>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IČO:</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IČ pre DPH:</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r w:rsidR="004657F4" w:rsidRPr="002E7B57" w:rsidTr="00E127E0">
        <w:trPr>
          <w:cantSplit/>
          <w:trHeight w:val="258"/>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DIČ:</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r w:rsidR="004657F4" w:rsidRPr="002E7B57" w:rsidTr="00E127E0">
        <w:trPr>
          <w:cantSplit/>
          <w:trHeight w:val="516"/>
        </w:trPr>
        <w:tc>
          <w:tcPr>
            <w:tcW w:w="3177"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Zapísaný v Obchodnom registri:</w:t>
            </w:r>
          </w:p>
        </w:tc>
        <w:tc>
          <w:tcPr>
            <w:tcW w:w="6601" w:type="dxa"/>
            <w:tcBorders>
              <w:top w:val="nil"/>
              <w:left w:val="nil"/>
              <w:bottom w:val="nil"/>
              <w:right w:val="nil"/>
            </w:tcBorders>
          </w:tcPr>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p w:rsidR="004657F4" w:rsidRPr="002E7B57" w:rsidRDefault="004657F4" w:rsidP="00E127E0">
            <w:pPr>
              <w:tabs>
                <w:tab w:val="right" w:pos="426"/>
              </w:tabs>
              <w:ind w:left="426"/>
              <w:rPr>
                <w:rFonts w:ascii="Arial Narrow" w:hAnsi="Arial Narrow" w:cs="Calibri"/>
              </w:rPr>
            </w:pPr>
            <w:r w:rsidRPr="002E7B57">
              <w:rPr>
                <w:rFonts w:ascii="Arial Narrow" w:hAnsi="Arial Narrow" w:cs="Calibri"/>
              </w:rPr>
              <w:t>..........................................................................</w:t>
            </w:r>
          </w:p>
        </w:tc>
      </w:tr>
    </w:tbl>
    <w:p w:rsidR="004657F4" w:rsidRPr="002E7B57" w:rsidRDefault="004657F4" w:rsidP="004657F4">
      <w:pPr>
        <w:tabs>
          <w:tab w:val="right" w:pos="426"/>
        </w:tabs>
        <w:ind w:left="426"/>
        <w:jc w:val="both"/>
        <w:rPr>
          <w:rFonts w:ascii="Arial Narrow" w:hAnsi="Arial Narrow" w:cs="Calibri"/>
        </w:rPr>
      </w:pPr>
      <w:r w:rsidRPr="002E7B57">
        <w:rPr>
          <w:rFonts w:ascii="Arial Narrow" w:hAnsi="Arial Narrow" w:cs="Calibri"/>
        </w:rPr>
        <w:t xml:space="preserve"> (ďalej len „poskytovateľ“)</w:t>
      </w:r>
    </w:p>
    <w:p w:rsidR="004657F4" w:rsidRPr="002E7B57" w:rsidRDefault="004657F4" w:rsidP="004657F4">
      <w:pPr>
        <w:ind w:left="426"/>
        <w:jc w:val="both"/>
        <w:rPr>
          <w:rFonts w:ascii="Arial Narrow" w:hAnsi="Arial Narrow" w:cs="Calibri"/>
          <w:u w:val="single"/>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4657F4" w:rsidRPr="002E7B57" w:rsidTr="00E127E0">
        <w:trPr>
          <w:cantSplit/>
          <w:trHeight w:val="270"/>
        </w:trPr>
        <w:tc>
          <w:tcPr>
            <w:tcW w:w="3177" w:type="dxa"/>
            <w:tcBorders>
              <w:top w:val="nil"/>
              <w:left w:val="nil"/>
              <w:bottom w:val="nil"/>
              <w:right w:val="nil"/>
            </w:tcBorders>
          </w:tcPr>
          <w:p w:rsidR="004657F4" w:rsidRPr="002E7B57" w:rsidRDefault="004657F4" w:rsidP="00E127E0">
            <w:pPr>
              <w:ind w:left="426"/>
              <w:rPr>
                <w:rFonts w:ascii="Arial Narrow" w:hAnsi="Arial Narrow" w:cs="Calibri"/>
                <w:b/>
                <w:bCs/>
              </w:rPr>
            </w:pPr>
            <w:r w:rsidRPr="002E7B57">
              <w:rPr>
                <w:rFonts w:ascii="Arial Narrow" w:hAnsi="Arial Narrow" w:cs="Calibri"/>
                <w:b/>
                <w:bCs/>
              </w:rPr>
              <w:t>Objednávateľ</w:t>
            </w:r>
            <w:r w:rsidRPr="002E7B57">
              <w:rPr>
                <w:rFonts w:ascii="Arial Narrow" w:hAnsi="Arial Narrow" w:cs="Calibri"/>
              </w:rPr>
              <w:t>:</w:t>
            </w:r>
          </w:p>
        </w:tc>
        <w:tc>
          <w:tcPr>
            <w:tcW w:w="6601" w:type="dxa"/>
            <w:tcBorders>
              <w:top w:val="nil"/>
              <w:left w:val="nil"/>
              <w:bottom w:val="nil"/>
              <w:right w:val="nil"/>
            </w:tcBorders>
          </w:tcPr>
          <w:p w:rsidR="004657F4" w:rsidRPr="002E7B57" w:rsidRDefault="004657F4" w:rsidP="00E127E0">
            <w:pPr>
              <w:ind w:left="426"/>
              <w:rPr>
                <w:rFonts w:ascii="Arial Narrow" w:hAnsi="Arial Narrow" w:cs="Calibri"/>
              </w:rPr>
            </w:pPr>
            <w:r w:rsidRPr="002E7B57">
              <w:rPr>
                <w:rFonts w:ascii="Arial Narrow" w:hAnsi="Arial Narrow" w:cs="Calibri"/>
              </w:rPr>
              <w:t xml:space="preserve">Slovenská republika zastúpená Ministerstvom financií </w:t>
            </w:r>
          </w:p>
          <w:p w:rsidR="004657F4" w:rsidRPr="002E7B57" w:rsidRDefault="004657F4" w:rsidP="00E127E0">
            <w:pPr>
              <w:ind w:left="426"/>
              <w:rPr>
                <w:rFonts w:ascii="Arial Narrow" w:hAnsi="Arial Narrow" w:cs="Calibri"/>
              </w:rPr>
            </w:pPr>
            <w:r w:rsidRPr="002E7B57">
              <w:rPr>
                <w:rFonts w:ascii="Arial Narrow" w:hAnsi="Arial Narrow" w:cs="Calibri"/>
              </w:rPr>
              <w:t>Slovenskej republiky</w:t>
            </w:r>
          </w:p>
        </w:tc>
      </w:tr>
      <w:tr w:rsidR="004657F4" w:rsidRPr="002E7B57" w:rsidTr="00E127E0">
        <w:trPr>
          <w:cantSplit/>
          <w:trHeight w:val="270"/>
        </w:trPr>
        <w:tc>
          <w:tcPr>
            <w:tcW w:w="3177" w:type="dxa"/>
            <w:tcBorders>
              <w:top w:val="nil"/>
              <w:left w:val="nil"/>
              <w:bottom w:val="nil"/>
              <w:right w:val="nil"/>
            </w:tcBorders>
          </w:tcPr>
          <w:p w:rsidR="004657F4" w:rsidRPr="002E7B57" w:rsidRDefault="004657F4" w:rsidP="00E127E0">
            <w:pPr>
              <w:ind w:left="426"/>
              <w:rPr>
                <w:rFonts w:ascii="Arial Narrow" w:hAnsi="Arial Narrow" w:cs="Calibri"/>
              </w:rPr>
            </w:pPr>
            <w:r w:rsidRPr="002E7B57">
              <w:rPr>
                <w:rFonts w:ascii="Arial Narrow" w:hAnsi="Arial Narrow" w:cs="Calibri"/>
              </w:rPr>
              <w:t>Sídlo:</w:t>
            </w:r>
          </w:p>
        </w:tc>
        <w:tc>
          <w:tcPr>
            <w:tcW w:w="6601" w:type="dxa"/>
            <w:tcBorders>
              <w:top w:val="nil"/>
              <w:left w:val="nil"/>
              <w:bottom w:val="nil"/>
              <w:right w:val="nil"/>
            </w:tcBorders>
          </w:tcPr>
          <w:p w:rsidR="004657F4" w:rsidRPr="002E7B57" w:rsidRDefault="004657F4" w:rsidP="00E127E0">
            <w:pPr>
              <w:ind w:left="426"/>
              <w:rPr>
                <w:rFonts w:ascii="Arial Narrow" w:hAnsi="Arial Narrow"/>
              </w:rPr>
            </w:pPr>
            <w:proofErr w:type="spellStart"/>
            <w:r w:rsidRPr="002E7B57">
              <w:rPr>
                <w:rFonts w:ascii="Arial Narrow" w:hAnsi="Arial Narrow"/>
              </w:rPr>
              <w:t>Štefanovičova</w:t>
            </w:r>
            <w:proofErr w:type="spellEnd"/>
            <w:r w:rsidRPr="002E7B57">
              <w:rPr>
                <w:rFonts w:ascii="Arial Narrow" w:hAnsi="Arial Narrow"/>
              </w:rPr>
              <w:t xml:space="preserve"> 5, P. O. Box 82,</w:t>
            </w:r>
          </w:p>
          <w:p w:rsidR="004657F4" w:rsidRPr="002E7B57" w:rsidRDefault="004657F4" w:rsidP="00E127E0">
            <w:pPr>
              <w:ind w:left="426"/>
              <w:rPr>
                <w:rFonts w:ascii="Arial Narrow" w:hAnsi="Arial Narrow" w:cs="Calibri"/>
              </w:rPr>
            </w:pPr>
            <w:r w:rsidRPr="002E7B57">
              <w:rPr>
                <w:rFonts w:ascii="Arial Narrow" w:hAnsi="Arial Narrow"/>
              </w:rPr>
              <w:t>817 82 BRATISLAVA</w:t>
            </w:r>
          </w:p>
        </w:tc>
      </w:tr>
      <w:tr w:rsidR="004657F4" w:rsidRPr="002E7B57" w:rsidTr="00E127E0">
        <w:trPr>
          <w:cantSplit/>
          <w:trHeight w:val="540"/>
        </w:trPr>
        <w:tc>
          <w:tcPr>
            <w:tcW w:w="3177" w:type="dxa"/>
            <w:tcBorders>
              <w:top w:val="nil"/>
              <w:left w:val="nil"/>
              <w:bottom w:val="nil"/>
              <w:right w:val="nil"/>
            </w:tcBorders>
          </w:tcPr>
          <w:p w:rsidR="004657F4" w:rsidRPr="002E7B57" w:rsidRDefault="004657F4" w:rsidP="00E127E0">
            <w:pPr>
              <w:ind w:left="426"/>
              <w:rPr>
                <w:rFonts w:ascii="Arial Narrow" w:hAnsi="Arial Narrow" w:cs="Calibri"/>
              </w:rPr>
            </w:pPr>
            <w:r w:rsidRPr="002E7B57">
              <w:rPr>
                <w:rFonts w:ascii="Arial Narrow" w:hAnsi="Arial Narrow" w:cs="Calibri"/>
              </w:rPr>
              <w:t>Oprávnený konať v zmluvných vzťahoch:</w:t>
            </w:r>
          </w:p>
        </w:tc>
        <w:tc>
          <w:tcPr>
            <w:tcW w:w="6601" w:type="dxa"/>
            <w:tcBorders>
              <w:top w:val="nil"/>
              <w:left w:val="nil"/>
              <w:bottom w:val="nil"/>
              <w:right w:val="nil"/>
            </w:tcBorders>
          </w:tcPr>
          <w:p w:rsidR="004657F4" w:rsidRPr="002E7B57" w:rsidRDefault="004657F4" w:rsidP="00E127E0">
            <w:pPr>
              <w:ind w:left="426"/>
              <w:rPr>
                <w:rFonts w:ascii="Arial Narrow" w:hAnsi="Arial Narrow" w:cs="Calibri"/>
              </w:rPr>
            </w:pPr>
          </w:p>
          <w:p w:rsidR="004657F4" w:rsidRPr="002E7B57" w:rsidRDefault="004657F4" w:rsidP="00E127E0">
            <w:pPr>
              <w:ind w:left="426"/>
              <w:rPr>
                <w:rFonts w:ascii="Arial Narrow" w:hAnsi="Arial Narrow" w:cs="Calibri"/>
              </w:rPr>
            </w:pPr>
            <w:r w:rsidRPr="002E7B57">
              <w:rPr>
                <w:rFonts w:ascii="Arial Narrow" w:hAnsi="Arial Narrow" w:cs="Calibri"/>
              </w:rPr>
              <w:t xml:space="preserve">Ing. Albín </w:t>
            </w:r>
            <w:proofErr w:type="spellStart"/>
            <w:r w:rsidRPr="002E7B57">
              <w:rPr>
                <w:rFonts w:ascii="Arial Narrow" w:hAnsi="Arial Narrow" w:cs="Calibri"/>
              </w:rPr>
              <w:t>Kotian</w:t>
            </w:r>
            <w:proofErr w:type="spellEnd"/>
            <w:r w:rsidRPr="002E7B57">
              <w:rPr>
                <w:rFonts w:ascii="Arial Narrow" w:hAnsi="Arial Narrow" w:cs="Calibri"/>
              </w:rPr>
              <w:t>, generálny tajomník služobného úradu</w:t>
            </w:r>
          </w:p>
        </w:tc>
      </w:tr>
      <w:tr w:rsidR="004657F4" w:rsidRPr="002E7B57" w:rsidTr="00E127E0">
        <w:trPr>
          <w:cantSplit/>
          <w:trHeight w:val="270"/>
        </w:trPr>
        <w:tc>
          <w:tcPr>
            <w:tcW w:w="3177" w:type="dxa"/>
            <w:tcBorders>
              <w:top w:val="nil"/>
              <w:left w:val="nil"/>
              <w:bottom w:val="nil"/>
              <w:right w:val="nil"/>
            </w:tcBorders>
          </w:tcPr>
          <w:p w:rsidR="004657F4" w:rsidRPr="002E7B57" w:rsidRDefault="004657F4" w:rsidP="00E127E0">
            <w:pPr>
              <w:ind w:left="426"/>
              <w:rPr>
                <w:rFonts w:ascii="Arial Narrow" w:hAnsi="Arial Narrow" w:cs="Calibri"/>
              </w:rPr>
            </w:pPr>
            <w:r w:rsidRPr="002E7B57">
              <w:rPr>
                <w:rFonts w:ascii="Arial Narrow" w:hAnsi="Arial Narrow" w:cs="Calibri"/>
              </w:rPr>
              <w:t>Číslo účtu (IBAN):</w:t>
            </w:r>
          </w:p>
        </w:tc>
        <w:tc>
          <w:tcPr>
            <w:tcW w:w="6601" w:type="dxa"/>
            <w:tcBorders>
              <w:top w:val="nil"/>
              <w:left w:val="nil"/>
              <w:bottom w:val="nil"/>
              <w:right w:val="nil"/>
            </w:tcBorders>
          </w:tcPr>
          <w:p w:rsidR="004657F4" w:rsidRPr="002E7B57" w:rsidRDefault="004657F4" w:rsidP="00E127E0">
            <w:pPr>
              <w:pStyle w:val="Default"/>
              <w:ind w:left="426"/>
              <w:rPr>
                <w:rFonts w:ascii="Arial Narrow" w:hAnsi="Arial Narrow" w:cs="Calibri"/>
              </w:rPr>
            </w:pPr>
            <w:r w:rsidRPr="002E7B57">
              <w:rPr>
                <w:rFonts w:ascii="Arial Narrow" w:hAnsi="Arial Narrow"/>
                <w:sz w:val="22"/>
                <w:szCs w:val="22"/>
              </w:rPr>
              <w:t>SK59 8180 0000 0070 0000 1400</w:t>
            </w:r>
          </w:p>
        </w:tc>
      </w:tr>
      <w:tr w:rsidR="004657F4" w:rsidRPr="002E7B57" w:rsidTr="00E127E0">
        <w:trPr>
          <w:cantSplit/>
          <w:trHeight w:val="270"/>
        </w:trPr>
        <w:tc>
          <w:tcPr>
            <w:tcW w:w="3177" w:type="dxa"/>
            <w:tcBorders>
              <w:top w:val="nil"/>
              <w:left w:val="nil"/>
              <w:bottom w:val="nil"/>
              <w:right w:val="nil"/>
            </w:tcBorders>
          </w:tcPr>
          <w:p w:rsidR="004657F4" w:rsidRPr="002E7B57" w:rsidRDefault="004657F4" w:rsidP="00E127E0">
            <w:pPr>
              <w:ind w:left="426"/>
              <w:rPr>
                <w:rFonts w:ascii="Arial Narrow" w:hAnsi="Arial Narrow" w:cs="Calibri"/>
              </w:rPr>
            </w:pPr>
            <w:r w:rsidRPr="002E7B57">
              <w:rPr>
                <w:rFonts w:ascii="Arial Narrow" w:hAnsi="Arial Narrow" w:cs="Calibri"/>
              </w:rPr>
              <w:t>IČO:</w:t>
            </w:r>
          </w:p>
        </w:tc>
        <w:tc>
          <w:tcPr>
            <w:tcW w:w="6601" w:type="dxa"/>
            <w:tcBorders>
              <w:top w:val="nil"/>
              <w:left w:val="nil"/>
              <w:bottom w:val="nil"/>
              <w:right w:val="nil"/>
            </w:tcBorders>
          </w:tcPr>
          <w:p w:rsidR="004657F4" w:rsidRPr="002E7B57" w:rsidRDefault="004657F4" w:rsidP="00E127E0">
            <w:pPr>
              <w:spacing w:after="40"/>
              <w:ind w:left="426"/>
              <w:rPr>
                <w:rFonts w:ascii="Arial Narrow" w:hAnsi="Arial Narrow" w:cs="Calibri"/>
              </w:rPr>
            </w:pPr>
            <w:r w:rsidRPr="002E7B57">
              <w:rPr>
                <w:rFonts w:ascii="Arial Narrow" w:hAnsi="Arial Narrow" w:cs="Calibri"/>
              </w:rPr>
              <w:t>00151742</w:t>
            </w:r>
          </w:p>
        </w:tc>
      </w:tr>
      <w:tr w:rsidR="004657F4" w:rsidRPr="002E7B57" w:rsidTr="00E127E0">
        <w:trPr>
          <w:cantSplit/>
          <w:trHeight w:val="254"/>
        </w:trPr>
        <w:tc>
          <w:tcPr>
            <w:tcW w:w="9778" w:type="dxa"/>
            <w:gridSpan w:val="2"/>
            <w:tcBorders>
              <w:top w:val="nil"/>
              <w:left w:val="nil"/>
              <w:bottom w:val="nil"/>
              <w:right w:val="nil"/>
            </w:tcBorders>
          </w:tcPr>
          <w:p w:rsidR="004657F4" w:rsidRPr="002E7B57" w:rsidRDefault="004657F4" w:rsidP="00E127E0">
            <w:pPr>
              <w:pStyle w:val="Default"/>
              <w:ind w:left="426"/>
              <w:jc w:val="both"/>
              <w:rPr>
                <w:rFonts w:ascii="Arial Narrow" w:hAnsi="Arial Narrow" w:cs="Calibri"/>
                <w:color w:val="auto"/>
                <w:lang w:eastAsia="en-US"/>
              </w:rPr>
            </w:pPr>
            <w:r w:rsidRPr="002E7B57">
              <w:rPr>
                <w:rFonts w:ascii="Arial Narrow" w:hAnsi="Arial Narrow" w:cs="Calibri"/>
                <w:color w:val="auto"/>
                <w:sz w:val="22"/>
                <w:szCs w:val="22"/>
                <w:lang w:eastAsia="en-US"/>
              </w:rPr>
              <w:t xml:space="preserve">Konajúci v postavení centrálnej obstarávacej organizácie podľa § 15 zákona č. 343/2015 </w:t>
            </w:r>
            <w:proofErr w:type="spellStart"/>
            <w:r w:rsidRPr="002E7B57">
              <w:rPr>
                <w:rFonts w:ascii="Arial Narrow" w:hAnsi="Arial Narrow" w:cs="Calibri"/>
                <w:color w:val="auto"/>
                <w:sz w:val="22"/>
                <w:szCs w:val="22"/>
                <w:lang w:eastAsia="en-US"/>
              </w:rPr>
              <w:t>Z.z</w:t>
            </w:r>
            <w:proofErr w:type="spellEnd"/>
            <w:r w:rsidRPr="002E7B57">
              <w:rPr>
                <w:rFonts w:ascii="Arial Narrow" w:hAnsi="Arial Narrow" w:cs="Calibri"/>
                <w:color w:val="auto"/>
                <w:sz w:val="22"/>
                <w:szCs w:val="22"/>
                <w:lang w:eastAsia="en-US"/>
              </w:rPr>
              <w:t>. o verejnom obstarávaní a o zmene a doplnení niektorých zákonov v znení neskorších predpisov, v prospech právnických osôb, uvedených v prílohe č. 2 tejto rámcovej dohody</w:t>
            </w:r>
            <w:r w:rsidRPr="002E7B57">
              <w:rPr>
                <w:rFonts w:ascii="Arial Narrow" w:hAnsi="Arial Narrow" w:cs="Calibri"/>
                <w:color w:val="auto"/>
                <w:lang w:eastAsia="en-US"/>
              </w:rPr>
              <w:t xml:space="preserve"> </w:t>
            </w:r>
            <w:r w:rsidRPr="002E7B57">
              <w:rPr>
                <w:rFonts w:ascii="Arial Narrow" w:hAnsi="Arial Narrow" w:cs="Calibri"/>
                <w:color w:val="auto"/>
                <w:sz w:val="22"/>
                <w:szCs w:val="22"/>
                <w:lang w:eastAsia="en-US"/>
              </w:rPr>
              <w:t>(ďalej len „objednávateľ“)</w:t>
            </w:r>
          </w:p>
          <w:p w:rsidR="004657F4" w:rsidRPr="002E7B57" w:rsidRDefault="004657F4" w:rsidP="00E127E0">
            <w:pPr>
              <w:rPr>
                <w:rFonts w:ascii="Arial Narrow" w:hAnsi="Arial Narrow" w:cs="Calibri"/>
              </w:rPr>
            </w:pPr>
          </w:p>
        </w:tc>
      </w:tr>
      <w:tr w:rsidR="004657F4" w:rsidRPr="002E7B57" w:rsidTr="00E127E0">
        <w:tblPrEx>
          <w:tblCellMar>
            <w:left w:w="108" w:type="dxa"/>
            <w:right w:w="108" w:type="dxa"/>
          </w:tblCellMar>
        </w:tblPrEx>
        <w:trPr>
          <w:trHeight w:val="109"/>
        </w:trPr>
        <w:tc>
          <w:tcPr>
            <w:tcW w:w="3177" w:type="dxa"/>
          </w:tcPr>
          <w:p w:rsidR="004657F4" w:rsidRPr="002E7B57" w:rsidRDefault="004657F4" w:rsidP="00E127E0">
            <w:pPr>
              <w:ind w:left="426"/>
              <w:rPr>
                <w:rFonts w:ascii="Arial Narrow" w:hAnsi="Arial Narrow" w:cs="Calibri"/>
              </w:rPr>
            </w:pPr>
          </w:p>
        </w:tc>
        <w:tc>
          <w:tcPr>
            <w:tcW w:w="6601" w:type="dxa"/>
          </w:tcPr>
          <w:p w:rsidR="004657F4" w:rsidRPr="002E7B57" w:rsidRDefault="004657F4" w:rsidP="00E127E0">
            <w:pPr>
              <w:rPr>
                <w:rFonts w:ascii="Arial Narrow" w:hAnsi="Arial Narrow" w:cs="Calibri"/>
              </w:rPr>
            </w:pPr>
          </w:p>
        </w:tc>
      </w:tr>
    </w:tbl>
    <w:p w:rsidR="004657F4" w:rsidRPr="002E7B57" w:rsidRDefault="004657F4" w:rsidP="004657F4">
      <w:pPr>
        <w:numPr>
          <w:ilvl w:val="0"/>
          <w:numId w:val="7"/>
        </w:numPr>
        <w:tabs>
          <w:tab w:val="clear" w:pos="2160"/>
          <w:tab w:val="clear" w:pos="2880"/>
          <w:tab w:val="clear" w:pos="4500"/>
        </w:tabs>
        <w:jc w:val="center"/>
        <w:rPr>
          <w:rFonts w:ascii="Arial Narrow" w:hAnsi="Arial Narrow" w:cs="Calibri"/>
          <w:b/>
          <w:bCs/>
        </w:rPr>
      </w:pPr>
      <w:r w:rsidRPr="002E7B57">
        <w:rPr>
          <w:rFonts w:ascii="Arial Narrow" w:hAnsi="Arial Narrow" w:cs="Calibri"/>
          <w:b/>
          <w:bCs/>
        </w:rPr>
        <w:t>ÚVODNÉ USTANOVENIA</w:t>
      </w:r>
    </w:p>
    <w:p w:rsidR="004657F4" w:rsidRPr="002E7B57" w:rsidRDefault="004657F4" w:rsidP="004657F4">
      <w:pPr>
        <w:pStyle w:val="Zkladntext"/>
        <w:rPr>
          <w:rFonts w:ascii="Arial Narrow" w:hAnsi="Arial Narrow" w:cs="Calibri"/>
          <w:b/>
          <w:bCs/>
          <w:sz w:val="22"/>
          <w:szCs w:val="22"/>
          <w:lang w:eastAsia="x-none"/>
        </w:rPr>
      </w:pPr>
    </w:p>
    <w:p w:rsidR="004657F4" w:rsidRPr="002E7B57" w:rsidRDefault="004657F4" w:rsidP="004657F4">
      <w:pPr>
        <w:pStyle w:val="Aaa"/>
        <w:numPr>
          <w:ilvl w:val="1"/>
          <w:numId w:val="7"/>
        </w:numPr>
        <w:ind w:left="851" w:hanging="494"/>
        <w:rPr>
          <w:rFonts w:ascii="Arial Narrow" w:hAnsi="Arial Narrow"/>
          <w:bCs/>
        </w:rPr>
      </w:pPr>
      <w:r w:rsidRPr="002E7B57">
        <w:rPr>
          <w:rFonts w:ascii="Arial Narrow" w:hAnsi="Arial Narrow"/>
          <w:bCs/>
        </w:rPr>
        <w:t xml:space="preserve">Objednávateľ z titulu centrálneho verejného obstarávateľa v súlade s plnením úloh </w:t>
      </w:r>
      <w:r w:rsidRPr="002E7B57">
        <w:rPr>
          <w:rFonts w:ascii="Arial Narrow" w:hAnsi="Arial Narrow"/>
        </w:rPr>
        <w:t>Úradu podpredsedu vlády SR pre investície a informatizáciu</w:t>
      </w:r>
      <w:r w:rsidRPr="002E7B57">
        <w:rPr>
          <w:rFonts w:ascii="Arial Narrow" w:hAnsi="Arial Narrow"/>
          <w:bCs/>
        </w:rPr>
        <w:t xml:space="preserve"> ako gestora informatizácie spoločnosti kladie za cieľ prinášať centralizované licenčné riešenia softvéru v rámci štátnej a verejnej správy, ktoré prispejú k účelnému, hospodárnemu a efektívnemu vynakladaniu prostriedkov verejných financií a ktorých predpokladom je uzatváranie centralizovaných zmluvných vzťahov za účelom dosahovania cenovo najvýhodnejších podmienok ako aj flexibility </w:t>
      </w:r>
      <w:proofErr w:type="spellStart"/>
      <w:r w:rsidRPr="002E7B57">
        <w:rPr>
          <w:rFonts w:ascii="Arial Narrow" w:hAnsi="Arial Narrow"/>
          <w:bCs/>
        </w:rPr>
        <w:t>licencovania</w:t>
      </w:r>
      <w:proofErr w:type="spellEnd"/>
      <w:r w:rsidRPr="002E7B57">
        <w:rPr>
          <w:rFonts w:ascii="Arial Narrow" w:hAnsi="Arial Narrow"/>
          <w:bCs/>
        </w:rPr>
        <w:t xml:space="preserve">. </w:t>
      </w:r>
    </w:p>
    <w:p w:rsidR="004657F4" w:rsidRPr="002E7B57" w:rsidRDefault="004657F4" w:rsidP="004657F4">
      <w:pPr>
        <w:pStyle w:val="Aaa"/>
        <w:numPr>
          <w:ilvl w:val="0"/>
          <w:numId w:val="0"/>
        </w:numPr>
        <w:ind w:left="851" w:hanging="494"/>
        <w:rPr>
          <w:rFonts w:ascii="Arial Narrow" w:hAnsi="Arial Narrow"/>
          <w:bCs/>
        </w:rPr>
      </w:pPr>
    </w:p>
    <w:p w:rsidR="004657F4" w:rsidRPr="002E7B57" w:rsidRDefault="004657F4" w:rsidP="004657F4">
      <w:pPr>
        <w:pStyle w:val="Aaa"/>
        <w:numPr>
          <w:ilvl w:val="1"/>
          <w:numId w:val="7"/>
        </w:numPr>
        <w:tabs>
          <w:tab w:val="left" w:pos="426"/>
        </w:tabs>
        <w:ind w:left="851" w:hanging="494"/>
        <w:rPr>
          <w:rFonts w:ascii="Arial Narrow" w:hAnsi="Arial Narrow"/>
          <w:bCs/>
        </w:rPr>
      </w:pPr>
      <w:r w:rsidRPr="002E7B57">
        <w:rPr>
          <w:rFonts w:ascii="Arial Narrow" w:hAnsi="Arial Narrow"/>
          <w:bCs/>
        </w:rPr>
        <w:t xml:space="preserve">Objednávateľ konajúci v postavení centrálneho verejného obstarávateľa podľa § 15 zákona č. 343/2015 </w:t>
      </w:r>
      <w:proofErr w:type="spellStart"/>
      <w:r w:rsidRPr="002E7B57">
        <w:rPr>
          <w:rFonts w:ascii="Arial Narrow" w:hAnsi="Arial Narrow"/>
          <w:bCs/>
        </w:rPr>
        <w:t>Z.z</w:t>
      </w:r>
      <w:proofErr w:type="spellEnd"/>
      <w:r w:rsidRPr="002E7B57">
        <w:rPr>
          <w:rFonts w:ascii="Arial Narrow" w:hAnsi="Arial Narrow"/>
          <w:bCs/>
        </w:rPr>
        <w:t xml:space="preserve">. o verejnom obstarávaní a o zmene a doplnení niektorých zákonov v znení neskorších predpisov (ďalej ako „zákon o VO“) na základe tejto rámcovej dohody centrálne obstaral licencie a služby licenčnej podpory </w:t>
      </w:r>
      <w:proofErr w:type="spellStart"/>
      <w:r w:rsidRPr="002E7B57">
        <w:rPr>
          <w:rFonts w:ascii="Arial Narrow" w:hAnsi="Arial Narrow"/>
          <w:bCs/>
        </w:rPr>
        <w:t>Talend</w:t>
      </w:r>
      <w:proofErr w:type="spellEnd"/>
      <w:r w:rsidRPr="002E7B57">
        <w:rPr>
          <w:rFonts w:ascii="Arial Narrow" w:hAnsi="Arial Narrow"/>
          <w:bCs/>
        </w:rPr>
        <w:t xml:space="preserve"> pre verejných obstarávateľov - organizácie štátnej a verejnej správy a organizácie v ich zriaďovateľskej pôsobnosti (ďalej aj ako „oprávnený subjekt“), vymenované v prílohe č. 2 tejto dohody. </w:t>
      </w:r>
    </w:p>
    <w:p w:rsidR="004657F4" w:rsidRPr="002E7B57" w:rsidRDefault="004657F4" w:rsidP="004657F4">
      <w:pPr>
        <w:pStyle w:val="Aaa"/>
        <w:numPr>
          <w:ilvl w:val="0"/>
          <w:numId w:val="0"/>
        </w:numPr>
        <w:rPr>
          <w:rFonts w:ascii="Arial Narrow" w:hAnsi="Arial Narrow"/>
        </w:rPr>
      </w:pPr>
    </w:p>
    <w:p w:rsidR="004657F4" w:rsidRPr="002E7B57" w:rsidRDefault="004657F4" w:rsidP="004657F4">
      <w:pPr>
        <w:pStyle w:val="Aaa"/>
        <w:numPr>
          <w:ilvl w:val="1"/>
          <w:numId w:val="7"/>
        </w:numPr>
        <w:tabs>
          <w:tab w:val="left" w:pos="426"/>
        </w:tabs>
        <w:ind w:left="851" w:hanging="494"/>
        <w:rPr>
          <w:rFonts w:ascii="Arial Narrow" w:hAnsi="Arial Narrow"/>
          <w:bCs/>
        </w:rPr>
      </w:pPr>
      <w:r w:rsidRPr="002E7B57">
        <w:rPr>
          <w:rFonts w:ascii="Arial Narrow" w:hAnsi="Arial Narrow"/>
          <w:bCs/>
        </w:rPr>
        <w:t>Objednávateľ ako zmluvná strana tejto rámcovej dohody je oprávnený na konanie v mene všetkých oprávnených subjektov uvedených v prílohe č. 2 tejto dohody vo veci akýchkoľvek úkonov a činností v procese plnenia tejto rámcovej dohody, vrátane vystavovania objednávok, prijímania a úhrady faktúr vystavených poskytovateľom, uplatňovania sankcií za porušenie povinností poskytovateľa a náhrady škody, ako aj akejkoľvek komunikácie s poskytovateľom.</w:t>
      </w:r>
    </w:p>
    <w:p w:rsidR="004657F4" w:rsidRPr="002E7B57" w:rsidRDefault="004657F4" w:rsidP="004657F4">
      <w:pPr>
        <w:pStyle w:val="Aaa"/>
        <w:numPr>
          <w:ilvl w:val="0"/>
          <w:numId w:val="0"/>
        </w:numPr>
        <w:ind w:left="792"/>
        <w:rPr>
          <w:rFonts w:ascii="Arial Narrow" w:hAnsi="Arial Narrow"/>
          <w:bCs/>
        </w:rPr>
      </w:pPr>
    </w:p>
    <w:p w:rsidR="004657F4" w:rsidRPr="002E7B57" w:rsidRDefault="004657F4" w:rsidP="004657F4">
      <w:pPr>
        <w:pStyle w:val="Aaa"/>
        <w:numPr>
          <w:ilvl w:val="1"/>
          <w:numId w:val="7"/>
        </w:numPr>
        <w:tabs>
          <w:tab w:val="left" w:pos="426"/>
        </w:tabs>
        <w:rPr>
          <w:rFonts w:ascii="Arial Narrow" w:hAnsi="Arial Narrow"/>
          <w:b/>
          <w:color w:val="FF0000"/>
        </w:rPr>
      </w:pPr>
      <w:r w:rsidRPr="002E7B57">
        <w:rPr>
          <w:rFonts w:ascii="Arial Narrow" w:hAnsi="Arial Narrow"/>
          <w:bCs/>
        </w:rPr>
        <w:t>Zmluvné strany uzatvárajú túto rámcovú dohodu v súlade s výsledkom verejnej súťaže s názvom „</w:t>
      </w:r>
      <w:r w:rsidRPr="00BE29F5">
        <w:rPr>
          <w:rFonts w:ascii="Arial Narrow" w:hAnsi="Arial Narrow"/>
          <w:bCs/>
        </w:rPr>
        <w:t>Centrálna rámcová dohoda na dodávku licencií a licenčnej podpory TALEND</w:t>
      </w:r>
      <w:r w:rsidRPr="002E7B57">
        <w:rPr>
          <w:rFonts w:ascii="Arial Narrow" w:hAnsi="Arial Narrow"/>
          <w:bCs/>
        </w:rPr>
        <w:t>“, podľa zákona o verejnom obstarávaní.</w:t>
      </w:r>
    </w:p>
    <w:p w:rsidR="004657F4" w:rsidRPr="002E7B57" w:rsidRDefault="004657F4" w:rsidP="004657F4">
      <w:pPr>
        <w:pStyle w:val="Aaa"/>
        <w:numPr>
          <w:ilvl w:val="0"/>
          <w:numId w:val="0"/>
        </w:numPr>
        <w:rPr>
          <w:rFonts w:ascii="Arial Narrow" w:hAnsi="Arial Narrow"/>
          <w:bCs/>
          <w:lang w:eastAsia="x-none"/>
        </w:rPr>
      </w:pPr>
    </w:p>
    <w:p w:rsidR="004657F4" w:rsidRPr="002E7B57" w:rsidRDefault="004657F4" w:rsidP="004657F4">
      <w:pPr>
        <w:pStyle w:val="Aaa"/>
        <w:numPr>
          <w:ilvl w:val="1"/>
          <w:numId w:val="7"/>
        </w:numPr>
        <w:rPr>
          <w:rFonts w:ascii="Arial Narrow" w:hAnsi="Arial Narrow"/>
          <w:bCs/>
        </w:rPr>
      </w:pPr>
      <w:r w:rsidRPr="002E7B57">
        <w:rPr>
          <w:rFonts w:ascii="Arial Narrow" w:hAnsi="Arial Narrow"/>
          <w:bCs/>
        </w:rPr>
        <w:t xml:space="preserve">Touto rámcovou dohodou sa stanovujú práva a povinnosti objednávateľa a poskytovateľa ako autorizovaného predajcu licencií a služieb licenčnej podpory </w:t>
      </w:r>
      <w:proofErr w:type="spellStart"/>
      <w:r w:rsidRPr="002E7B57">
        <w:rPr>
          <w:rFonts w:ascii="Arial Narrow" w:hAnsi="Arial Narrow"/>
          <w:bCs/>
        </w:rPr>
        <w:t>Talend</w:t>
      </w:r>
      <w:proofErr w:type="spellEnd"/>
      <w:r w:rsidRPr="002E7B57">
        <w:rPr>
          <w:rFonts w:ascii="Arial Narrow" w:hAnsi="Arial Narrow"/>
          <w:bCs/>
        </w:rPr>
        <w:t xml:space="preserve"> (ďalej aj ako „produkty“). Poskytovateľ je povinný zabezpečiť dodanie produktov v súlade s touto rámcovou dohodou.</w:t>
      </w:r>
    </w:p>
    <w:p w:rsidR="004657F4" w:rsidRPr="002E7B57" w:rsidRDefault="004657F4" w:rsidP="004657F4">
      <w:pPr>
        <w:rPr>
          <w:rFonts w:ascii="Arial Narrow" w:hAnsi="Arial Narrow"/>
        </w:rPr>
      </w:pPr>
    </w:p>
    <w:p w:rsidR="004657F4" w:rsidRPr="002E7B57" w:rsidRDefault="004657F4" w:rsidP="004657F4">
      <w:pPr>
        <w:pStyle w:val="Aaa"/>
        <w:numPr>
          <w:ilvl w:val="1"/>
          <w:numId w:val="7"/>
        </w:numPr>
        <w:rPr>
          <w:rFonts w:ascii="Arial Narrow" w:hAnsi="Arial Narrow"/>
          <w:bCs/>
        </w:rPr>
      </w:pPr>
      <w:r w:rsidRPr="002E7B57">
        <w:rPr>
          <w:rFonts w:ascii="Arial Narrow" w:hAnsi="Arial Narrow"/>
          <w:bCs/>
        </w:rPr>
        <w:t xml:space="preserve">Jedným z východísk centrálneho obstarania licencií vrátane služieb licenčnej podpory </w:t>
      </w:r>
      <w:proofErr w:type="spellStart"/>
      <w:r w:rsidRPr="002E7B57">
        <w:rPr>
          <w:rFonts w:ascii="Arial Narrow" w:hAnsi="Arial Narrow"/>
          <w:bCs/>
        </w:rPr>
        <w:t>Talend</w:t>
      </w:r>
      <w:proofErr w:type="spellEnd"/>
      <w:r w:rsidRPr="002E7B57">
        <w:rPr>
          <w:rFonts w:ascii="Arial Narrow" w:hAnsi="Arial Narrow"/>
          <w:bCs/>
        </w:rPr>
        <w:t xml:space="preserve"> v zmysle tejto dohody je zámer poskytovať ich štátnym a verejným organizáciám prostredníctvom </w:t>
      </w:r>
      <w:proofErr w:type="spellStart"/>
      <w:r w:rsidRPr="002E7B57">
        <w:rPr>
          <w:rFonts w:ascii="Arial Narrow" w:hAnsi="Arial Narrow"/>
          <w:bCs/>
        </w:rPr>
        <w:t>PaaSovej</w:t>
      </w:r>
      <w:proofErr w:type="spellEnd"/>
      <w:r w:rsidRPr="002E7B57">
        <w:rPr>
          <w:rFonts w:ascii="Arial Narrow" w:hAnsi="Arial Narrow"/>
          <w:bCs/>
        </w:rPr>
        <w:t xml:space="preserve"> služby v rámci vládneho </w:t>
      </w:r>
      <w:proofErr w:type="spellStart"/>
      <w:r w:rsidRPr="002E7B57">
        <w:rPr>
          <w:rFonts w:ascii="Arial Narrow" w:hAnsi="Arial Narrow"/>
          <w:bCs/>
        </w:rPr>
        <w:t>cloudu</w:t>
      </w:r>
      <w:proofErr w:type="spellEnd"/>
      <w:r w:rsidRPr="002E7B57">
        <w:rPr>
          <w:rFonts w:ascii="Arial Narrow" w:hAnsi="Arial Narrow"/>
          <w:bCs/>
        </w:rPr>
        <w:t xml:space="preserve"> a súčasne zabezpečiť licencie a služby licenčnej podpory pre informačný systém Centrálnej správy referenčných údajov. </w:t>
      </w:r>
    </w:p>
    <w:p w:rsidR="004657F4" w:rsidRPr="002E7B57" w:rsidRDefault="004657F4" w:rsidP="004657F4">
      <w:pPr>
        <w:pStyle w:val="Aaa"/>
        <w:numPr>
          <w:ilvl w:val="0"/>
          <w:numId w:val="0"/>
        </w:numPr>
        <w:rPr>
          <w:rFonts w:ascii="Arial Narrow" w:hAnsi="Arial Narrow"/>
          <w:bCs/>
        </w:rPr>
      </w:pPr>
    </w:p>
    <w:p w:rsidR="004657F4" w:rsidRPr="002E7B57" w:rsidRDefault="004657F4" w:rsidP="004657F4">
      <w:pPr>
        <w:numPr>
          <w:ilvl w:val="0"/>
          <w:numId w:val="7"/>
        </w:numPr>
        <w:tabs>
          <w:tab w:val="clear" w:pos="2160"/>
          <w:tab w:val="clear" w:pos="2880"/>
          <w:tab w:val="clear" w:pos="4500"/>
        </w:tabs>
        <w:jc w:val="center"/>
        <w:rPr>
          <w:rFonts w:ascii="Arial Narrow" w:hAnsi="Arial Narrow" w:cs="Calibri"/>
          <w:b/>
          <w:bCs/>
        </w:rPr>
      </w:pPr>
      <w:r w:rsidRPr="002E7B57">
        <w:rPr>
          <w:rFonts w:ascii="Arial Narrow" w:hAnsi="Arial Narrow" w:cs="Calibri"/>
          <w:b/>
          <w:bCs/>
        </w:rPr>
        <w:t>PREDMET A CIEĽ RÁMCOVEJ DOHODY</w:t>
      </w:r>
    </w:p>
    <w:p w:rsidR="004657F4" w:rsidRPr="002E7B57" w:rsidRDefault="004657F4" w:rsidP="004657F4">
      <w:pPr>
        <w:ind w:left="360"/>
        <w:rPr>
          <w:rFonts w:ascii="Arial Narrow" w:hAnsi="Arial Narrow" w:cs="Calibri"/>
          <w:b/>
          <w:bCs/>
        </w:rPr>
      </w:pPr>
    </w:p>
    <w:p w:rsidR="004657F4" w:rsidRPr="002E7B57" w:rsidRDefault="004657F4" w:rsidP="004657F4">
      <w:pPr>
        <w:pStyle w:val="Odsekzoznamu"/>
        <w:numPr>
          <w:ilvl w:val="0"/>
          <w:numId w:val="9"/>
        </w:numPr>
        <w:tabs>
          <w:tab w:val="clear" w:pos="2160"/>
          <w:tab w:val="clear" w:pos="2880"/>
          <w:tab w:val="clear" w:pos="4500"/>
        </w:tabs>
        <w:jc w:val="both"/>
        <w:rPr>
          <w:rFonts w:ascii="Arial Narrow" w:hAnsi="Arial Narrow" w:cs="Calibri"/>
          <w:vanish/>
        </w:rPr>
      </w:pPr>
    </w:p>
    <w:p w:rsidR="004657F4" w:rsidRPr="002E7B57" w:rsidRDefault="004657F4" w:rsidP="004657F4">
      <w:pPr>
        <w:pStyle w:val="Odsekzoznamu"/>
        <w:numPr>
          <w:ilvl w:val="0"/>
          <w:numId w:val="9"/>
        </w:numPr>
        <w:tabs>
          <w:tab w:val="clear" w:pos="2160"/>
          <w:tab w:val="clear" w:pos="2880"/>
          <w:tab w:val="clear" w:pos="4500"/>
        </w:tabs>
        <w:jc w:val="both"/>
        <w:rPr>
          <w:rFonts w:ascii="Arial Narrow" w:hAnsi="Arial Narrow" w:cs="Calibri"/>
          <w:vanish/>
        </w:rPr>
      </w:pPr>
    </w:p>
    <w:p w:rsidR="004657F4" w:rsidRPr="002E7B57" w:rsidRDefault="004657F4" w:rsidP="004657F4">
      <w:pPr>
        <w:pStyle w:val="Aaa"/>
        <w:numPr>
          <w:ilvl w:val="1"/>
          <w:numId w:val="9"/>
        </w:numPr>
        <w:spacing w:after="120"/>
        <w:ind w:left="788" w:hanging="431"/>
        <w:rPr>
          <w:rFonts w:ascii="Arial Narrow" w:hAnsi="Arial Narrow"/>
        </w:rPr>
      </w:pPr>
      <w:r w:rsidRPr="002E7B57">
        <w:rPr>
          <w:rFonts w:ascii="Arial Narrow" w:hAnsi="Arial Narrow"/>
        </w:rPr>
        <w:t>Predmetom rámcovej dohody je záväzok poskytovateľa riadne a včas dodať</w:t>
      </w:r>
      <w:r w:rsidRPr="002E7B57" w:rsidDel="007D5E20">
        <w:rPr>
          <w:rFonts w:ascii="Arial Narrow" w:hAnsi="Arial Narrow"/>
        </w:rPr>
        <w:t xml:space="preserve"> </w:t>
      </w:r>
      <w:r w:rsidRPr="002E7B57">
        <w:rPr>
          <w:rFonts w:ascii="Arial Narrow" w:hAnsi="Arial Narrow"/>
        </w:rPr>
        <w:t>objednávateľovi produkty, ktorých podrobná charakteristika s uvedením ich názvu a špecifikácie, množstva, doby trvania licenčnej  podpory a metriky je špecifikovaná v Prílohe č.1 tejto rámcovej dohody (opis predmetu zákazky), ktorá tvorí neoddeliteľnú súčasť tejto rámcovej dohody.</w:t>
      </w:r>
    </w:p>
    <w:p w:rsidR="004657F4" w:rsidRPr="002E7B57" w:rsidRDefault="004657F4" w:rsidP="004657F4">
      <w:pPr>
        <w:jc w:val="both"/>
        <w:rPr>
          <w:rFonts w:ascii="Arial Narrow" w:hAnsi="Arial Narrow" w:cs="Calibri"/>
        </w:rPr>
      </w:pPr>
    </w:p>
    <w:p w:rsidR="004657F4" w:rsidRPr="002E7B57" w:rsidRDefault="004657F4" w:rsidP="004657F4">
      <w:pPr>
        <w:pStyle w:val="Aaa"/>
        <w:numPr>
          <w:ilvl w:val="1"/>
          <w:numId w:val="9"/>
        </w:numPr>
        <w:ind w:left="788" w:hanging="431"/>
        <w:rPr>
          <w:rFonts w:ascii="Arial Narrow" w:hAnsi="Arial Narrow"/>
        </w:rPr>
      </w:pPr>
      <w:r w:rsidRPr="002E7B57">
        <w:rPr>
          <w:rFonts w:ascii="Arial Narrow" w:hAnsi="Arial Narrow"/>
        </w:rPr>
        <w:t xml:space="preserve">Poskytovateľ je povinný riadne a včas poskytnúť predmet plnenia alebo jeho časť a odovzdať ho objednávateľovi v súlade s ustanoveniami tejto rámcovej dohody a jednotlivými objednávkami. </w:t>
      </w:r>
    </w:p>
    <w:p w:rsidR="004657F4" w:rsidRPr="002E7B57" w:rsidRDefault="004657F4" w:rsidP="004657F4">
      <w:pPr>
        <w:pStyle w:val="Aaa"/>
        <w:numPr>
          <w:ilvl w:val="0"/>
          <w:numId w:val="0"/>
        </w:numPr>
        <w:ind w:left="788"/>
        <w:rPr>
          <w:rFonts w:ascii="Arial Narrow" w:hAnsi="Arial Narrow"/>
        </w:rPr>
      </w:pPr>
    </w:p>
    <w:p w:rsidR="004657F4" w:rsidRPr="002E7B57" w:rsidRDefault="004657F4" w:rsidP="004657F4">
      <w:pPr>
        <w:pStyle w:val="Aaa"/>
        <w:numPr>
          <w:ilvl w:val="1"/>
          <w:numId w:val="9"/>
        </w:numPr>
        <w:ind w:left="788" w:hanging="431"/>
        <w:rPr>
          <w:rFonts w:ascii="Arial Narrow" w:hAnsi="Arial Narrow"/>
        </w:rPr>
      </w:pPr>
      <w:r w:rsidRPr="002E7B57">
        <w:rPr>
          <w:rFonts w:ascii="Arial Narrow" w:hAnsi="Arial Narrow"/>
        </w:rPr>
        <w:t>Objednávateľ je povinný riadne a včas poskytnutý predmet plnenia alebo jeho časť prevziať a zaplatiť poskytovateľovi dohodnutú cenu stanovenú v súlade s touto rámcovou dohodou a príslušnou objednávkou.</w:t>
      </w:r>
    </w:p>
    <w:p w:rsidR="004657F4" w:rsidRPr="002E7B57" w:rsidRDefault="004657F4" w:rsidP="004657F4">
      <w:pPr>
        <w:rPr>
          <w:rFonts w:ascii="Arial Narrow" w:hAnsi="Arial Narrow"/>
        </w:rPr>
      </w:pPr>
    </w:p>
    <w:p w:rsidR="004657F4" w:rsidRPr="002E7B57" w:rsidRDefault="004657F4" w:rsidP="004657F4">
      <w:pPr>
        <w:pStyle w:val="Aaa"/>
        <w:numPr>
          <w:ilvl w:val="1"/>
          <w:numId w:val="9"/>
        </w:numPr>
        <w:ind w:left="788" w:hanging="431"/>
        <w:rPr>
          <w:rFonts w:ascii="Arial Narrow" w:hAnsi="Arial Narrow"/>
        </w:rPr>
      </w:pPr>
      <w:r w:rsidRPr="002E7B57">
        <w:rPr>
          <w:rFonts w:ascii="Arial Narrow" w:hAnsi="Arial Narrow"/>
        </w:rPr>
        <w:t xml:space="preserve">Cieľom uzatvorenia rámcovej dohody je určenie podmienok pre centrálne obstaranie licencií a služieb licenčnej podpory </w:t>
      </w:r>
      <w:proofErr w:type="spellStart"/>
      <w:r w:rsidRPr="002E7B57">
        <w:rPr>
          <w:rFonts w:ascii="Arial Narrow" w:hAnsi="Arial Narrow"/>
        </w:rPr>
        <w:t>Talend</w:t>
      </w:r>
      <w:proofErr w:type="spellEnd"/>
      <w:r w:rsidRPr="002E7B57">
        <w:rPr>
          <w:rFonts w:ascii="Arial Narrow" w:hAnsi="Arial Narrow"/>
        </w:rPr>
        <w:t xml:space="preserve"> na dobu 12 mesiacov a umožnenie ich využívania čo najširšiemu okruhu organizácií verejnej správy prostredníctvom poskytovania cenovo zvýhodnených licencií a služieb licenčnej podpory </w:t>
      </w:r>
      <w:proofErr w:type="spellStart"/>
      <w:r w:rsidRPr="002E7B57">
        <w:rPr>
          <w:rFonts w:ascii="Arial Narrow" w:hAnsi="Arial Narrow"/>
        </w:rPr>
        <w:t>Talend</w:t>
      </w:r>
      <w:proofErr w:type="spellEnd"/>
      <w:r w:rsidRPr="002E7B57">
        <w:rPr>
          <w:rFonts w:ascii="Arial Narrow" w:hAnsi="Arial Narrow"/>
        </w:rPr>
        <w:t>, ako i celkové optimálne využívanie licencií v štátnej a verejnej správe.</w:t>
      </w:r>
    </w:p>
    <w:p w:rsidR="004657F4" w:rsidRPr="002E7B57" w:rsidRDefault="004657F4" w:rsidP="004657F4">
      <w:pPr>
        <w:pStyle w:val="Aaa"/>
        <w:numPr>
          <w:ilvl w:val="0"/>
          <w:numId w:val="0"/>
        </w:numPr>
        <w:ind w:left="709"/>
        <w:rPr>
          <w:rFonts w:ascii="Arial Narrow" w:hAnsi="Arial Narrow"/>
        </w:rPr>
      </w:pPr>
    </w:p>
    <w:p w:rsidR="004657F4" w:rsidRPr="002E7B57" w:rsidRDefault="004657F4" w:rsidP="004657F4">
      <w:pPr>
        <w:rPr>
          <w:rFonts w:ascii="Arial Narrow" w:hAnsi="Arial Narrow" w:cs="Calibri"/>
          <w:b/>
          <w:bCs/>
        </w:rPr>
      </w:pPr>
    </w:p>
    <w:p w:rsidR="004657F4" w:rsidRPr="002E7B57" w:rsidRDefault="004657F4" w:rsidP="004657F4">
      <w:pPr>
        <w:numPr>
          <w:ilvl w:val="0"/>
          <w:numId w:val="9"/>
        </w:numPr>
        <w:tabs>
          <w:tab w:val="clear" w:pos="2160"/>
          <w:tab w:val="clear" w:pos="2880"/>
          <w:tab w:val="clear" w:pos="4500"/>
        </w:tabs>
        <w:ind w:left="426" w:firstLine="0"/>
        <w:jc w:val="center"/>
        <w:rPr>
          <w:rFonts w:ascii="Arial Narrow" w:hAnsi="Arial Narrow" w:cs="Calibri"/>
          <w:b/>
          <w:bCs/>
        </w:rPr>
      </w:pPr>
      <w:r w:rsidRPr="002E7B57">
        <w:rPr>
          <w:rFonts w:ascii="Arial Narrow" w:hAnsi="Arial Narrow" w:cs="Calibri"/>
          <w:b/>
          <w:bCs/>
        </w:rPr>
        <w:t>CENA</w:t>
      </w:r>
    </w:p>
    <w:p w:rsidR="004657F4" w:rsidRPr="002E7B57" w:rsidRDefault="004657F4" w:rsidP="004657F4">
      <w:pPr>
        <w:jc w:val="both"/>
        <w:rPr>
          <w:rFonts w:ascii="Arial Narrow" w:hAnsi="Arial Narrow" w:cs="Calibri"/>
        </w:rPr>
      </w:pPr>
    </w:p>
    <w:p w:rsidR="004657F4" w:rsidRPr="00351624" w:rsidRDefault="004657F4" w:rsidP="004657F4">
      <w:pPr>
        <w:pStyle w:val="Aaa"/>
        <w:numPr>
          <w:ilvl w:val="1"/>
          <w:numId w:val="9"/>
        </w:numPr>
        <w:ind w:left="788" w:hanging="431"/>
        <w:rPr>
          <w:rFonts w:ascii="Arial Narrow" w:hAnsi="Arial Narrow"/>
        </w:rPr>
      </w:pPr>
      <w:r w:rsidRPr="002E7B57">
        <w:rPr>
          <w:rFonts w:ascii="Arial Narrow" w:hAnsi="Arial Narrow"/>
        </w:rPr>
        <w:t xml:space="preserve">Jednotkové ceny za poskytnutie produktov a služieb licenčnej podpory </w:t>
      </w:r>
      <w:proofErr w:type="spellStart"/>
      <w:r w:rsidRPr="002E7B57">
        <w:rPr>
          <w:rFonts w:ascii="Arial Narrow" w:hAnsi="Arial Narrow"/>
        </w:rPr>
        <w:t>Talend</w:t>
      </w:r>
      <w:proofErr w:type="spellEnd"/>
      <w:r w:rsidRPr="002E7B57">
        <w:rPr>
          <w:rFonts w:ascii="Arial Narrow" w:hAnsi="Arial Narrow"/>
        </w:rPr>
        <w:t xml:space="preserve"> sú stanovené na základe cenovej ponuky poskytovateľa vo verejnej súťaži na zákazku </w:t>
      </w:r>
      <w:r w:rsidRPr="00351624">
        <w:rPr>
          <w:rFonts w:ascii="Arial Narrow" w:hAnsi="Arial Narrow"/>
        </w:rPr>
        <w:t xml:space="preserve">„Centrálna rámcová dohoda na dodávku licencií a licenčnej podpory TALEND“ </w:t>
      </w:r>
      <w:r w:rsidRPr="002E7B57">
        <w:rPr>
          <w:rFonts w:ascii="Arial Narrow" w:hAnsi="Arial Narrow"/>
        </w:rPr>
        <w:t>v súlade so zákonom č. 18/1996 Z. z. o cenách v znení neskorších predpisov a vyhlášky MF SR č. 87/1996 Z. z., ktorou sa vykonáva zákon o cenách v znení neskorších predpisov v súlade s kritériami na vyhodnotenie ponúk, ktoré sú uvedené v prílohe č. 1 tejto rámcovej dohody. Jednotkové ceny počas trvania tejto dohody nemožno meniť.</w:t>
      </w:r>
    </w:p>
    <w:p w:rsidR="004657F4" w:rsidRPr="002E7B57" w:rsidRDefault="004657F4" w:rsidP="004657F4">
      <w:pPr>
        <w:pStyle w:val="Aaa"/>
        <w:numPr>
          <w:ilvl w:val="0"/>
          <w:numId w:val="0"/>
        </w:numPr>
        <w:rPr>
          <w:rFonts w:ascii="Arial Narrow" w:hAnsi="Arial Narrow"/>
        </w:rPr>
      </w:pPr>
    </w:p>
    <w:p w:rsidR="004657F4" w:rsidRPr="002E7B57" w:rsidRDefault="004657F4" w:rsidP="004657F4">
      <w:pPr>
        <w:pStyle w:val="Aaa"/>
        <w:numPr>
          <w:ilvl w:val="1"/>
          <w:numId w:val="9"/>
        </w:numPr>
        <w:ind w:left="788" w:hanging="431"/>
        <w:rPr>
          <w:rFonts w:ascii="Arial Narrow" w:hAnsi="Arial Narrow"/>
        </w:rPr>
      </w:pPr>
      <w:r w:rsidRPr="002E7B57">
        <w:rPr>
          <w:rFonts w:ascii="Arial Narrow" w:hAnsi="Arial Narrow"/>
        </w:rPr>
        <w:t xml:space="preserve">Maximálny finančný limit za poskytnutie licencií a služieb licenčnej podpory </w:t>
      </w:r>
      <w:proofErr w:type="spellStart"/>
      <w:r w:rsidRPr="002E7B57">
        <w:rPr>
          <w:rFonts w:ascii="Arial Narrow" w:hAnsi="Arial Narrow"/>
        </w:rPr>
        <w:t>Talend</w:t>
      </w:r>
      <w:proofErr w:type="spellEnd"/>
      <w:r w:rsidRPr="002E7B57">
        <w:rPr>
          <w:rFonts w:ascii="Arial Narrow" w:hAnsi="Arial Narrow"/>
        </w:rPr>
        <w:t xml:space="preserve"> podľa tejto rámcovej dohody, je stanovený vo výške XX XXX XXX,XX Eur bez DPH (slovom: &lt;</w:t>
      </w:r>
      <w:r w:rsidRPr="002E7B57">
        <w:rPr>
          <w:rFonts w:ascii="Arial Narrow" w:hAnsi="Arial Narrow"/>
          <w:i/>
        </w:rPr>
        <w:t>doplniť podľa výsledku VO&gt;</w:t>
      </w:r>
      <w:r w:rsidRPr="002E7B57">
        <w:rPr>
          <w:rFonts w:ascii="Arial Narrow" w:hAnsi="Arial Narrow"/>
        </w:rPr>
        <w:t xml:space="preserve"> bez DPH). Finančný limit rámcovej dohody môže byť zmenený iba na základe písomného dodatku k rámcovej dohode v súlade s príslušnými ustanoveniami platného zákona o verejnom obstarávaní, a to výlučne na základe požiadaviek a potrieb Objednávateľa ako centrálneho verejného obstarávateľa, ktoré pri vyhlásení verejnej súťaže nemohol ani pri vynaložení odbornej starostlivosti predvídať. Pre zamedzenie pochybností sa stanovuje, že jednotkové ceny nie je možné zmeniť ani na základe písomného dodatku k tejto rámcovej dohode.</w:t>
      </w:r>
    </w:p>
    <w:p w:rsidR="004657F4" w:rsidRPr="002E7B57" w:rsidRDefault="004657F4" w:rsidP="004657F4">
      <w:pPr>
        <w:pStyle w:val="Odsekzoznamu"/>
        <w:rPr>
          <w:rFonts w:ascii="Arial Narrow" w:hAnsi="Arial Narrow"/>
        </w:rPr>
      </w:pPr>
    </w:p>
    <w:p w:rsidR="004657F4" w:rsidRPr="002E7B57" w:rsidRDefault="004657F4" w:rsidP="004657F4">
      <w:pPr>
        <w:pStyle w:val="Aaa"/>
        <w:numPr>
          <w:ilvl w:val="1"/>
          <w:numId w:val="9"/>
        </w:numPr>
        <w:ind w:left="788" w:hanging="431"/>
        <w:rPr>
          <w:rFonts w:ascii="Arial Narrow" w:hAnsi="Arial Narrow"/>
        </w:rPr>
      </w:pPr>
      <w:r w:rsidRPr="002E7B57">
        <w:rPr>
          <w:rFonts w:ascii="Arial Narrow" w:hAnsi="Arial Narrow"/>
        </w:rPr>
        <w:t xml:space="preserve">Pokiaľ nie je ďalej uvedené inak, všetky ceny podľa tejto rámcovej dohody sú uvedené bez dane z pridanej hodnoty (DPH). Poskytovateľ k cene pripočíta DPH v príslušnej, zákonom o dani z pridanej hodnoty stanovenej sadzbe. Deň dodania licencií poskytovateľom sa pokladá za deň dodania tovaru pre účely DPH. </w:t>
      </w:r>
    </w:p>
    <w:p w:rsidR="004657F4" w:rsidRPr="002E7B57" w:rsidRDefault="004657F4" w:rsidP="004657F4">
      <w:pPr>
        <w:pStyle w:val="Odsekzoznamu"/>
        <w:ind w:left="788" w:hanging="431"/>
        <w:jc w:val="both"/>
        <w:rPr>
          <w:rFonts w:ascii="Arial Narrow" w:hAnsi="Arial Narrow"/>
        </w:rPr>
      </w:pPr>
    </w:p>
    <w:p w:rsidR="004657F4" w:rsidRPr="002E7B57" w:rsidRDefault="004657F4" w:rsidP="004657F4">
      <w:pPr>
        <w:pStyle w:val="Aaa"/>
        <w:numPr>
          <w:ilvl w:val="1"/>
          <w:numId w:val="9"/>
        </w:numPr>
        <w:ind w:left="788" w:hanging="431"/>
        <w:rPr>
          <w:rFonts w:ascii="Arial Narrow" w:hAnsi="Arial Narrow"/>
        </w:rPr>
      </w:pPr>
      <w:r w:rsidRPr="002E7B57">
        <w:rPr>
          <w:rFonts w:ascii="Arial Narrow" w:hAnsi="Arial Narrow"/>
        </w:rPr>
        <w:t>Objednávateľ nie je povinný odobrať v plnom rozsahu predpokladané množstvo jednotlivých položiek tvoriacich predmet rámcovej dohody, ani vyčerpať jeho predpokladaný maximálny finančný objem. Skutočné odobrané množstvo predmetu rámcovej dohody bude závisieť od potrieb objednávateľa.</w:t>
      </w:r>
    </w:p>
    <w:p w:rsidR="004657F4" w:rsidRPr="002E7B57" w:rsidRDefault="004657F4" w:rsidP="004657F4">
      <w:pPr>
        <w:pStyle w:val="Zkladntext"/>
        <w:tabs>
          <w:tab w:val="left" w:pos="2127"/>
          <w:tab w:val="left" w:pos="3686"/>
        </w:tabs>
        <w:rPr>
          <w:rFonts w:ascii="Arial Narrow" w:hAnsi="Arial Narrow" w:cs="Calibri"/>
          <w:sz w:val="22"/>
          <w:szCs w:val="22"/>
          <w:lang w:eastAsia="x-none"/>
        </w:rPr>
      </w:pPr>
    </w:p>
    <w:p w:rsidR="004657F4" w:rsidRPr="002E7B57" w:rsidRDefault="004657F4" w:rsidP="004657F4">
      <w:pPr>
        <w:keepNext/>
        <w:numPr>
          <w:ilvl w:val="0"/>
          <w:numId w:val="9"/>
        </w:numPr>
        <w:tabs>
          <w:tab w:val="clear" w:pos="2160"/>
          <w:tab w:val="clear" w:pos="2880"/>
          <w:tab w:val="clear" w:pos="4500"/>
        </w:tabs>
        <w:ind w:hanging="360"/>
        <w:jc w:val="center"/>
        <w:rPr>
          <w:rFonts w:ascii="Arial Narrow" w:hAnsi="Arial Narrow" w:cs="Calibri"/>
          <w:b/>
          <w:bCs/>
        </w:rPr>
      </w:pPr>
      <w:r w:rsidRPr="002E7B57">
        <w:rPr>
          <w:rFonts w:ascii="Arial Narrow" w:hAnsi="Arial Narrow" w:cs="Calibri"/>
          <w:b/>
          <w:bCs/>
        </w:rPr>
        <w:t>PODMIENKY VYSTAVOVANIA OBJEDNÁVOK</w:t>
      </w:r>
    </w:p>
    <w:p w:rsidR="004657F4" w:rsidRPr="002E7B57" w:rsidRDefault="004657F4" w:rsidP="004657F4">
      <w:pPr>
        <w:keepNext/>
        <w:jc w:val="both"/>
        <w:rPr>
          <w:rFonts w:ascii="Arial Narrow" w:hAnsi="Arial Narrow" w:cs="Calibri"/>
        </w:rPr>
      </w:pPr>
    </w:p>
    <w:p w:rsidR="004657F4" w:rsidRPr="002E7B57" w:rsidRDefault="004657F4" w:rsidP="004657F4">
      <w:pPr>
        <w:pStyle w:val="Aaa"/>
        <w:keepNext/>
        <w:numPr>
          <w:ilvl w:val="1"/>
          <w:numId w:val="9"/>
        </w:numPr>
        <w:ind w:left="788" w:hanging="431"/>
        <w:rPr>
          <w:rFonts w:ascii="Arial Narrow" w:hAnsi="Arial Narrow"/>
        </w:rPr>
      </w:pPr>
      <w:r w:rsidRPr="002E7B57">
        <w:rPr>
          <w:rFonts w:ascii="Arial Narrow" w:hAnsi="Arial Narrow"/>
        </w:rPr>
        <w:t xml:space="preserve">V súlade s príslušnými ustanoveniami tejto </w:t>
      </w:r>
      <w:r>
        <w:rPr>
          <w:rFonts w:ascii="Arial Narrow" w:hAnsi="Arial Narrow"/>
        </w:rPr>
        <w:t xml:space="preserve">rámcovej </w:t>
      </w:r>
      <w:r w:rsidRPr="002E7B57">
        <w:rPr>
          <w:rFonts w:ascii="Arial Narrow" w:hAnsi="Arial Narrow"/>
        </w:rPr>
        <w:t xml:space="preserve">dohody sa plnenie predmetu rámcovej dohody alebo jeho časť podľa článku 2 bude realizovať formou písomných objednávok objednávateľa adresovaných poskytovateľovi </w:t>
      </w:r>
      <w:r w:rsidRPr="002E7B57">
        <w:rPr>
          <w:rFonts w:ascii="Arial Narrow" w:hAnsi="Arial Narrow"/>
        </w:rPr>
        <w:lastRenderedPageBreak/>
        <w:t>(ďalej len „objednávka“). V objednávke uvedie objednávateľ najmä názov a špecifikáciu licencií, počet licencií, dobu a miesto dodania licencií, vrátane uvedenia názvu subjektu, v mene ktorého licencie objednáva.</w:t>
      </w:r>
    </w:p>
    <w:p w:rsidR="004657F4" w:rsidRPr="002E7B57" w:rsidRDefault="004657F4" w:rsidP="004657F4">
      <w:pPr>
        <w:rPr>
          <w:rFonts w:ascii="Arial Narrow" w:hAnsi="Arial Narrow"/>
        </w:rPr>
      </w:pPr>
    </w:p>
    <w:p w:rsidR="004657F4" w:rsidRPr="002E7B57" w:rsidRDefault="004657F4" w:rsidP="004657F4">
      <w:pPr>
        <w:pStyle w:val="Aaa"/>
        <w:keepNext/>
        <w:numPr>
          <w:ilvl w:val="1"/>
          <w:numId w:val="9"/>
        </w:numPr>
        <w:ind w:left="788" w:hanging="431"/>
        <w:rPr>
          <w:rFonts w:ascii="Arial Narrow" w:hAnsi="Arial Narrow"/>
        </w:rPr>
      </w:pPr>
      <w:r w:rsidRPr="002E7B57">
        <w:rPr>
          <w:rFonts w:ascii="Arial Narrow" w:hAnsi="Arial Narrow"/>
        </w:rPr>
        <w:t>Objednávky bude objednávateľ zasielať poskytovateľovi e-mailom kontaktnej osobe podľa bodu 4.7 tohto článku rámcovej dohody.</w:t>
      </w:r>
    </w:p>
    <w:p w:rsidR="004657F4" w:rsidRPr="002E7B57" w:rsidRDefault="004657F4" w:rsidP="004657F4">
      <w:pPr>
        <w:pStyle w:val="Odsekzoznamu"/>
        <w:rPr>
          <w:rFonts w:ascii="Arial Narrow" w:hAnsi="Arial Narrow" w:cs="Calibri"/>
        </w:rPr>
      </w:pPr>
    </w:p>
    <w:p w:rsidR="004657F4" w:rsidRPr="002E7B57" w:rsidRDefault="004657F4" w:rsidP="004657F4">
      <w:pPr>
        <w:pStyle w:val="Aaa"/>
        <w:keepNext/>
        <w:numPr>
          <w:ilvl w:val="1"/>
          <w:numId w:val="9"/>
        </w:numPr>
        <w:ind w:left="788" w:hanging="431"/>
        <w:rPr>
          <w:rFonts w:ascii="Arial Narrow" w:hAnsi="Arial Narrow"/>
        </w:rPr>
      </w:pPr>
      <w:r w:rsidRPr="002E7B57">
        <w:rPr>
          <w:rFonts w:ascii="Arial Narrow" w:hAnsi="Arial Narrow"/>
        </w:rPr>
        <w:t>Poskytovateľ je povinný najneskôr nasledujúci pracovný deň po dni 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tejto dohody alebo jeho časť podľa príslušnej objednávky na dohodnutom mieste poskytnutia v dobe poskytnutia určenej v objednávke alebo v tejto rámcovej dohode a objednávateľ takto objednaný predmet objednávky prevezme a zaväzuje sa zaň zaplatiť dohodnutú cenu. V prípade, ak poskytovateľ z akýchkoľvek dôvodov, s výnimkou dôvodov spočívajúcich vo vyššej moci, nepotvrdí (neakceptuje) objednávku v lehote stanovenej v tomto bode rámcovej dohody, považuje sa nasledujúci pracovný deň po dni doručenia riadne vystavenej objednávky poskytovateľovi, za deň akceptácie objednávky.</w:t>
      </w:r>
    </w:p>
    <w:p w:rsidR="004657F4" w:rsidRPr="002E7B57" w:rsidRDefault="004657F4" w:rsidP="004657F4">
      <w:pPr>
        <w:pStyle w:val="Odsekzoznamu"/>
        <w:rPr>
          <w:rFonts w:ascii="Arial Narrow" w:hAnsi="Arial Narrow" w:cs="Calibri"/>
        </w:rPr>
      </w:pPr>
    </w:p>
    <w:p w:rsidR="004657F4" w:rsidRPr="002E7B57" w:rsidRDefault="004657F4" w:rsidP="004657F4">
      <w:pPr>
        <w:pStyle w:val="Zkladntext"/>
        <w:numPr>
          <w:ilvl w:val="1"/>
          <w:numId w:val="9"/>
        </w:numPr>
        <w:tabs>
          <w:tab w:val="clear" w:pos="2160"/>
          <w:tab w:val="clear" w:pos="2880"/>
          <w:tab w:val="clear" w:pos="4500"/>
          <w:tab w:val="left" w:pos="709"/>
          <w:tab w:val="left" w:pos="3686"/>
        </w:tabs>
        <w:spacing w:after="0"/>
        <w:ind w:left="788" w:hanging="431"/>
        <w:jc w:val="both"/>
        <w:rPr>
          <w:rFonts w:ascii="Arial Narrow" w:hAnsi="Arial Narrow" w:cs="Calibri"/>
          <w:sz w:val="22"/>
          <w:szCs w:val="22"/>
          <w:lang w:eastAsia="en-US"/>
        </w:rPr>
      </w:pPr>
      <w:r w:rsidRPr="002E7B57">
        <w:rPr>
          <w:rFonts w:ascii="Arial Narrow" w:hAnsi="Arial Narrow" w:cs="Calibri"/>
          <w:sz w:val="22"/>
          <w:szCs w:val="22"/>
          <w:lang w:eastAsia="en-US"/>
        </w:rPr>
        <w:t xml:space="preserve"> </w:t>
      </w:r>
      <w:r w:rsidRPr="002E7B57">
        <w:rPr>
          <w:rFonts w:ascii="Arial Narrow" w:hAnsi="Arial Narrow" w:cs="Calibri"/>
          <w:sz w:val="22"/>
          <w:szCs w:val="22"/>
          <w:lang w:eastAsia="en-US"/>
        </w:rPr>
        <w:tab/>
        <w:t>Ak poskytovateľ zistí, že technická špecifikácia v objednávke neobsahuje všetky náležitosti, resp. má vady (nie je úplná, nie je jednoznačná a pod.) je povinný objednávateľa na túto skutočnosť bezodkladne písomne upozorniť, inak je poskytovateľ povinný písomne potvrdiť akceptáciu objednávky do 3 pracovných dní od doručenia objednávky.</w:t>
      </w:r>
    </w:p>
    <w:p w:rsidR="004657F4" w:rsidRPr="002E7B57" w:rsidRDefault="004657F4" w:rsidP="004657F4">
      <w:pPr>
        <w:pStyle w:val="Zkladntext"/>
        <w:tabs>
          <w:tab w:val="left" w:pos="709"/>
          <w:tab w:val="left" w:pos="3686"/>
        </w:tabs>
        <w:ind w:left="792"/>
        <w:rPr>
          <w:rFonts w:ascii="Arial Narrow" w:hAnsi="Arial Narrow" w:cs="Calibri"/>
          <w:sz w:val="22"/>
          <w:szCs w:val="22"/>
          <w:lang w:eastAsia="en-US"/>
        </w:rPr>
      </w:pPr>
    </w:p>
    <w:p w:rsidR="004657F4" w:rsidRPr="002E7B57" w:rsidRDefault="004657F4" w:rsidP="004657F4">
      <w:pPr>
        <w:pStyle w:val="Zkladntext"/>
        <w:numPr>
          <w:ilvl w:val="1"/>
          <w:numId w:val="9"/>
        </w:numPr>
        <w:tabs>
          <w:tab w:val="clear" w:pos="2160"/>
          <w:tab w:val="clear" w:pos="2880"/>
          <w:tab w:val="clear" w:pos="4500"/>
          <w:tab w:val="left" w:pos="709"/>
          <w:tab w:val="left" w:pos="3686"/>
        </w:tabs>
        <w:spacing w:after="60"/>
        <w:ind w:left="788" w:hanging="431"/>
        <w:jc w:val="both"/>
        <w:rPr>
          <w:rFonts w:ascii="Arial Narrow" w:hAnsi="Arial Narrow" w:cs="Calibri"/>
          <w:sz w:val="22"/>
          <w:szCs w:val="22"/>
          <w:lang w:eastAsia="en-US"/>
        </w:rPr>
      </w:pPr>
      <w:r w:rsidRPr="002E7B57">
        <w:rPr>
          <w:rFonts w:ascii="Arial Narrow" w:hAnsi="Arial Narrow" w:cs="Calibri"/>
          <w:sz w:val="22"/>
          <w:szCs w:val="22"/>
          <w:lang w:eastAsia="en-US"/>
        </w:rPr>
        <w:t xml:space="preserve"> </w:t>
      </w:r>
      <w:r w:rsidRPr="002E7B57">
        <w:rPr>
          <w:rFonts w:ascii="Arial Narrow" w:hAnsi="Arial Narrow" w:cs="Calibri"/>
          <w:sz w:val="22"/>
          <w:szCs w:val="22"/>
          <w:lang w:eastAsia="en-US"/>
        </w:rPr>
        <w:tab/>
        <w:t xml:space="preserve">Poskytovateľ je povinný: </w:t>
      </w:r>
    </w:p>
    <w:p w:rsidR="004657F4" w:rsidRPr="002E7B57" w:rsidRDefault="004657F4" w:rsidP="004657F4">
      <w:pPr>
        <w:pStyle w:val="Zkladntext"/>
        <w:numPr>
          <w:ilvl w:val="0"/>
          <w:numId w:val="8"/>
        </w:numPr>
        <w:tabs>
          <w:tab w:val="clear" w:pos="2160"/>
          <w:tab w:val="clear" w:pos="2880"/>
          <w:tab w:val="clear" w:pos="4500"/>
          <w:tab w:val="left" w:pos="709"/>
        </w:tabs>
        <w:spacing w:after="60"/>
        <w:ind w:left="1134" w:hanging="283"/>
        <w:jc w:val="both"/>
        <w:rPr>
          <w:rFonts w:ascii="Arial Narrow" w:hAnsi="Arial Narrow" w:cs="Calibri"/>
          <w:sz w:val="22"/>
          <w:szCs w:val="22"/>
          <w:lang w:eastAsia="en-US"/>
        </w:rPr>
      </w:pPr>
      <w:r w:rsidRPr="002E7B57">
        <w:rPr>
          <w:rFonts w:ascii="Arial Narrow" w:hAnsi="Arial Narrow" w:cs="Calibri"/>
          <w:sz w:val="22"/>
          <w:szCs w:val="22"/>
          <w:lang w:eastAsia="en-US"/>
        </w:rPr>
        <w:t xml:space="preserve">poskytnúť objednávateľovi alebo oprávnenému subjektu súčinnosť nevyhnutnú na zabezpečenie plnenia predmetu dohody alebo jeho časti v zmysle pravidiel spoločnosti </w:t>
      </w:r>
      <w:proofErr w:type="spellStart"/>
      <w:r w:rsidRPr="002E7B57">
        <w:rPr>
          <w:rFonts w:ascii="Arial Narrow" w:hAnsi="Arial Narrow" w:cs="Calibri"/>
          <w:sz w:val="22"/>
          <w:szCs w:val="22"/>
          <w:lang w:eastAsia="en-US"/>
        </w:rPr>
        <w:t>Talend</w:t>
      </w:r>
      <w:proofErr w:type="spellEnd"/>
      <w:r w:rsidRPr="002E7B57">
        <w:rPr>
          <w:rFonts w:ascii="Arial Narrow" w:hAnsi="Arial Narrow" w:cs="Calibri"/>
          <w:sz w:val="22"/>
          <w:szCs w:val="22"/>
          <w:lang w:eastAsia="en-US"/>
        </w:rPr>
        <w:t>,</w:t>
      </w:r>
    </w:p>
    <w:p w:rsidR="004657F4" w:rsidRPr="002E7B57" w:rsidRDefault="004657F4" w:rsidP="004657F4">
      <w:pPr>
        <w:pStyle w:val="Zkladntext"/>
        <w:numPr>
          <w:ilvl w:val="0"/>
          <w:numId w:val="8"/>
        </w:numPr>
        <w:tabs>
          <w:tab w:val="clear" w:pos="2160"/>
          <w:tab w:val="clear" w:pos="2880"/>
          <w:tab w:val="clear" w:pos="4500"/>
          <w:tab w:val="left" w:pos="709"/>
        </w:tabs>
        <w:spacing w:after="60"/>
        <w:ind w:left="1134" w:hanging="283"/>
        <w:jc w:val="both"/>
        <w:rPr>
          <w:rFonts w:ascii="Arial Narrow" w:hAnsi="Arial Narrow" w:cs="Calibri"/>
          <w:sz w:val="22"/>
          <w:szCs w:val="22"/>
          <w:lang w:eastAsia="en-US"/>
        </w:rPr>
      </w:pPr>
      <w:r w:rsidRPr="002E7B57">
        <w:rPr>
          <w:rFonts w:ascii="Arial Narrow" w:hAnsi="Arial Narrow" w:cs="Calibri"/>
          <w:sz w:val="22"/>
          <w:szCs w:val="22"/>
          <w:lang w:eastAsia="en-US"/>
        </w:rPr>
        <w:t xml:space="preserve">poskytnúť objednávateľovi alebo oprávnenému subjektu technickú pomoc a konzultačné služby súvisiace s predmetom dohody v pracovných dňoch v čase od 9:00 hod do 17:00 hod. a poskytnúť telefonickú licenčnú podporu počas pracovných dní objednávateľa v čase od 9:00 hod do 17:00 hod na telefónnom čísle &lt;vyplní uchádzač&gt;. </w:t>
      </w:r>
    </w:p>
    <w:p w:rsidR="004657F4" w:rsidRPr="002E7B57" w:rsidRDefault="004657F4" w:rsidP="004657F4">
      <w:pPr>
        <w:pStyle w:val="Zkladntext"/>
        <w:tabs>
          <w:tab w:val="left" w:pos="709"/>
        </w:tabs>
        <w:ind w:left="788" w:hanging="431"/>
        <w:rPr>
          <w:rFonts w:ascii="Arial Narrow" w:hAnsi="Arial Narrow" w:cs="Calibri"/>
          <w:sz w:val="22"/>
          <w:szCs w:val="22"/>
          <w:lang w:eastAsia="en-US"/>
        </w:rPr>
      </w:pPr>
    </w:p>
    <w:p w:rsidR="004657F4" w:rsidRPr="002E7B57" w:rsidRDefault="004657F4" w:rsidP="004657F4">
      <w:pPr>
        <w:pStyle w:val="Zkladntext"/>
        <w:numPr>
          <w:ilvl w:val="1"/>
          <w:numId w:val="9"/>
        </w:numPr>
        <w:tabs>
          <w:tab w:val="clear" w:pos="2160"/>
          <w:tab w:val="clear" w:pos="2880"/>
          <w:tab w:val="clear" w:pos="4500"/>
          <w:tab w:val="left" w:pos="709"/>
        </w:tabs>
        <w:spacing w:after="0"/>
        <w:ind w:left="788" w:hanging="431"/>
        <w:jc w:val="both"/>
        <w:rPr>
          <w:rFonts w:ascii="Arial Narrow" w:hAnsi="Arial Narrow" w:cs="Calibri"/>
          <w:sz w:val="22"/>
          <w:szCs w:val="22"/>
          <w:lang w:eastAsia="en-US"/>
        </w:rPr>
      </w:pPr>
      <w:r w:rsidRPr="002E7B57">
        <w:rPr>
          <w:rFonts w:ascii="Arial Narrow" w:hAnsi="Arial Narrow" w:cs="Calibri"/>
          <w:sz w:val="22"/>
          <w:szCs w:val="22"/>
          <w:lang w:eastAsia="en-US"/>
        </w:rPr>
        <w:t xml:space="preserve"> </w:t>
      </w:r>
      <w:r w:rsidRPr="002E7B57">
        <w:rPr>
          <w:rFonts w:ascii="Arial Narrow" w:hAnsi="Arial Narrow" w:cs="Calibri"/>
          <w:sz w:val="22"/>
          <w:szCs w:val="22"/>
          <w:lang w:eastAsia="en-US"/>
        </w:rPr>
        <w:tab/>
        <w:t>Poskytovateľ je povinný najneskôr do 5 dní od nadobudnutia účinnosti tejto rámcovej dohody písomne stanoviť a objednávateľovi oznámiť kontaktné osoby pre účely prijímania objednávok, plnenia predmetu objednávok, preberania predmetu objednávok a rokovania vo vzájomnom styku zmluvných strán vo veciach týkajúcich sa plnenia podľa rámcovej dohody. Zmena kontaktnej osoby poskytovateľa musí byť zaslaná druhej strane najneskôr 7 dní pred vykonaním zmeny.</w:t>
      </w:r>
    </w:p>
    <w:p w:rsidR="004657F4" w:rsidRPr="002E7B57" w:rsidRDefault="004657F4" w:rsidP="004657F4">
      <w:pPr>
        <w:pStyle w:val="Zkladntext"/>
        <w:tabs>
          <w:tab w:val="left" w:pos="709"/>
        </w:tabs>
        <w:ind w:left="788"/>
        <w:rPr>
          <w:rFonts w:ascii="Arial Narrow" w:hAnsi="Arial Narrow" w:cs="Calibri"/>
          <w:sz w:val="22"/>
          <w:szCs w:val="22"/>
          <w:lang w:eastAsia="en-US"/>
        </w:rPr>
      </w:pPr>
    </w:p>
    <w:p w:rsidR="004657F4" w:rsidRPr="002E7B57" w:rsidRDefault="004657F4" w:rsidP="004657F4">
      <w:pPr>
        <w:pStyle w:val="Zkladntext"/>
        <w:numPr>
          <w:ilvl w:val="1"/>
          <w:numId w:val="9"/>
        </w:numPr>
        <w:tabs>
          <w:tab w:val="clear" w:pos="2160"/>
          <w:tab w:val="clear" w:pos="2880"/>
          <w:tab w:val="clear" w:pos="4500"/>
          <w:tab w:val="left" w:pos="709"/>
        </w:tabs>
        <w:spacing w:after="0"/>
        <w:ind w:left="788" w:hanging="431"/>
        <w:jc w:val="both"/>
        <w:rPr>
          <w:rFonts w:ascii="Arial Narrow" w:hAnsi="Arial Narrow" w:cs="Calibri"/>
          <w:sz w:val="22"/>
          <w:szCs w:val="22"/>
          <w:lang w:eastAsia="x-none"/>
        </w:rPr>
      </w:pPr>
      <w:r w:rsidRPr="002E7B57">
        <w:rPr>
          <w:rFonts w:ascii="Arial Narrow" w:hAnsi="Arial Narrow" w:cs="Calibri"/>
          <w:sz w:val="22"/>
          <w:szCs w:val="22"/>
          <w:lang w:eastAsia="en-US"/>
        </w:rPr>
        <w:t xml:space="preserve">  Objednávateľ je povinný najneskôr do 4 pracovných dní od nadobudnutia účinnosti tejto rámcovej dohody písomne stanoviť a poskytovateľovi oznámiť kontaktné osoby pre účely vystavovania objednávok, plnenia predmetu objednávok, preberania predmetu objednávok a rokovania vo vzájomnom styku zmluvných strán vo veciach týkajúcich sa plnenia podľa dohody. Zmena kontaktnej osoby musí byť zaslaná druhej strane najneskôr 5 pracovných dní pred vykonaním zmeny.</w:t>
      </w:r>
    </w:p>
    <w:p w:rsidR="004657F4" w:rsidRPr="002E7B57" w:rsidRDefault="004657F4" w:rsidP="004657F4">
      <w:pPr>
        <w:pStyle w:val="Odsekzoznamu"/>
        <w:rPr>
          <w:rFonts w:ascii="Arial Narrow" w:hAnsi="Arial Narrow" w:cs="Calibri"/>
          <w:lang w:eastAsia="x-none"/>
        </w:rPr>
      </w:pPr>
    </w:p>
    <w:p w:rsidR="004657F4" w:rsidRPr="002E7B57" w:rsidRDefault="004657F4" w:rsidP="004657F4">
      <w:pPr>
        <w:pStyle w:val="Zkladntext"/>
        <w:tabs>
          <w:tab w:val="left" w:pos="709"/>
        </w:tabs>
        <w:ind w:left="788"/>
        <w:rPr>
          <w:rFonts w:ascii="Arial Narrow" w:hAnsi="Arial Narrow" w:cs="Calibri"/>
          <w:sz w:val="22"/>
          <w:szCs w:val="22"/>
          <w:lang w:eastAsia="x-none"/>
        </w:rPr>
      </w:pPr>
    </w:p>
    <w:p w:rsidR="004657F4" w:rsidRPr="002E7B57" w:rsidRDefault="004657F4" w:rsidP="004657F4">
      <w:pPr>
        <w:keepNext/>
        <w:rPr>
          <w:rFonts w:ascii="Arial Narrow" w:hAnsi="Arial Narrow" w:cs="Calibri"/>
          <w:b/>
          <w:bCs/>
        </w:rPr>
      </w:pPr>
    </w:p>
    <w:p w:rsidR="004657F4" w:rsidRPr="002E7B57" w:rsidRDefault="004657F4" w:rsidP="004657F4">
      <w:pPr>
        <w:pStyle w:val="Odsekzoznamu"/>
        <w:numPr>
          <w:ilvl w:val="0"/>
          <w:numId w:val="10"/>
        </w:numPr>
        <w:tabs>
          <w:tab w:val="clear" w:pos="2160"/>
          <w:tab w:val="clear" w:pos="2880"/>
          <w:tab w:val="clear" w:pos="4500"/>
        </w:tabs>
        <w:contextualSpacing/>
        <w:jc w:val="both"/>
        <w:rPr>
          <w:rFonts w:ascii="Arial Narrow" w:hAnsi="Arial Narrow" w:cs="Calibri"/>
          <w:vanish/>
        </w:rPr>
      </w:pPr>
    </w:p>
    <w:p w:rsidR="004657F4" w:rsidRPr="002E7B57" w:rsidRDefault="004657F4" w:rsidP="004657F4">
      <w:pPr>
        <w:pStyle w:val="Odsekzoznamu"/>
        <w:numPr>
          <w:ilvl w:val="0"/>
          <w:numId w:val="10"/>
        </w:numPr>
        <w:tabs>
          <w:tab w:val="clear" w:pos="2160"/>
          <w:tab w:val="clear" w:pos="2880"/>
          <w:tab w:val="clear" w:pos="4500"/>
        </w:tabs>
        <w:contextualSpacing/>
        <w:jc w:val="both"/>
        <w:rPr>
          <w:rFonts w:ascii="Arial Narrow" w:hAnsi="Arial Narrow" w:cs="Calibri"/>
          <w:vanish/>
        </w:rPr>
      </w:pPr>
    </w:p>
    <w:p w:rsidR="004657F4" w:rsidRPr="002E7B57" w:rsidRDefault="004657F4" w:rsidP="004657F4">
      <w:pPr>
        <w:pStyle w:val="Odsekzoznamu"/>
        <w:numPr>
          <w:ilvl w:val="0"/>
          <w:numId w:val="10"/>
        </w:numPr>
        <w:tabs>
          <w:tab w:val="clear" w:pos="2160"/>
          <w:tab w:val="clear" w:pos="2880"/>
          <w:tab w:val="clear" w:pos="4500"/>
        </w:tabs>
        <w:contextualSpacing/>
        <w:jc w:val="both"/>
        <w:rPr>
          <w:rFonts w:ascii="Arial Narrow" w:hAnsi="Arial Narrow" w:cs="Calibri"/>
          <w:vanish/>
        </w:rPr>
      </w:pPr>
    </w:p>
    <w:p w:rsidR="004657F4" w:rsidRPr="002E7B57" w:rsidRDefault="004657F4" w:rsidP="004657F4">
      <w:pPr>
        <w:pStyle w:val="Odsekzoznamu"/>
        <w:numPr>
          <w:ilvl w:val="0"/>
          <w:numId w:val="10"/>
        </w:numPr>
        <w:tabs>
          <w:tab w:val="clear" w:pos="2160"/>
          <w:tab w:val="clear" w:pos="2880"/>
          <w:tab w:val="clear" w:pos="4500"/>
        </w:tabs>
        <w:contextualSpacing/>
        <w:jc w:val="both"/>
        <w:rPr>
          <w:rFonts w:ascii="Arial Narrow" w:hAnsi="Arial Narrow" w:cs="Calibri"/>
          <w:vanish/>
        </w:rPr>
      </w:pPr>
    </w:p>
    <w:p w:rsidR="004657F4" w:rsidRPr="002E7B57" w:rsidRDefault="004657F4" w:rsidP="004657F4">
      <w:pPr>
        <w:pStyle w:val="Odsekzoznamu"/>
        <w:numPr>
          <w:ilvl w:val="0"/>
          <w:numId w:val="10"/>
        </w:numPr>
        <w:tabs>
          <w:tab w:val="clear" w:pos="2160"/>
          <w:tab w:val="clear" w:pos="2880"/>
          <w:tab w:val="clear" w:pos="4500"/>
        </w:tabs>
        <w:contextualSpacing/>
        <w:jc w:val="both"/>
        <w:rPr>
          <w:rFonts w:ascii="Arial Narrow" w:hAnsi="Arial Narrow" w:cs="Calibri"/>
          <w:vanish/>
        </w:rPr>
      </w:pPr>
    </w:p>
    <w:p w:rsidR="004657F4" w:rsidRPr="002E7B57" w:rsidRDefault="004657F4" w:rsidP="004657F4">
      <w:pPr>
        <w:numPr>
          <w:ilvl w:val="0"/>
          <w:numId w:val="11"/>
        </w:numPr>
        <w:tabs>
          <w:tab w:val="clear" w:pos="2160"/>
          <w:tab w:val="clear" w:pos="2880"/>
          <w:tab w:val="clear" w:pos="4500"/>
        </w:tabs>
        <w:ind w:left="284" w:hanging="284"/>
        <w:jc w:val="center"/>
        <w:rPr>
          <w:rFonts w:ascii="Arial Narrow" w:hAnsi="Arial Narrow" w:cs="Calibri"/>
          <w:b/>
          <w:bCs/>
        </w:rPr>
      </w:pPr>
      <w:r w:rsidRPr="002E7B57">
        <w:rPr>
          <w:rFonts w:ascii="Arial Narrow" w:hAnsi="Arial Narrow" w:cs="Calibri"/>
          <w:b/>
          <w:bCs/>
        </w:rPr>
        <w:t>MIESTO A ROZSAH PLNENIA</w:t>
      </w:r>
    </w:p>
    <w:p w:rsidR="004657F4" w:rsidRPr="002E7B57" w:rsidRDefault="004657F4" w:rsidP="004657F4">
      <w:pPr>
        <w:pStyle w:val="Aaa"/>
        <w:numPr>
          <w:ilvl w:val="0"/>
          <w:numId w:val="0"/>
        </w:numPr>
        <w:spacing w:after="120"/>
        <w:ind w:left="716" w:hanging="432"/>
        <w:rPr>
          <w:rFonts w:ascii="Arial Narrow" w:hAnsi="Arial Narrow"/>
        </w:rPr>
      </w:pP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 xml:space="preserve">Miesto plnenia podľa tejto rámcovej dohody je sídlo objednávateľa ako aj oprávnených subjektov v zmysle prílohy č. 2, ak objednávateľ v objednávke nestanoví inak. </w:t>
      </w: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Množstevný rozsah licencií a služieb licenčnej podpory je dohodnutý v rozsahu podľa Prílohy č. 1 tejto rámcovej dohody a bude bližšie špecifikovaný v každej objednávke.</w:t>
      </w:r>
    </w:p>
    <w:p w:rsidR="004657F4" w:rsidRDefault="004657F4" w:rsidP="004657F4">
      <w:pPr>
        <w:ind w:left="2835"/>
        <w:rPr>
          <w:rFonts w:ascii="Arial Narrow" w:hAnsi="Arial Narrow" w:cs="Calibri"/>
          <w:b/>
          <w:bCs/>
        </w:rPr>
      </w:pPr>
    </w:p>
    <w:p w:rsidR="004657F4" w:rsidRDefault="004657F4" w:rsidP="004657F4">
      <w:pPr>
        <w:ind w:left="2835"/>
        <w:rPr>
          <w:rFonts w:ascii="Arial Narrow" w:hAnsi="Arial Narrow" w:cs="Calibri"/>
          <w:b/>
          <w:bCs/>
        </w:rPr>
      </w:pPr>
    </w:p>
    <w:p w:rsidR="004657F4" w:rsidRDefault="004657F4" w:rsidP="004657F4">
      <w:pPr>
        <w:ind w:left="2835"/>
        <w:rPr>
          <w:rFonts w:ascii="Arial Narrow" w:hAnsi="Arial Narrow" w:cs="Calibri"/>
          <w:b/>
          <w:bCs/>
        </w:rPr>
      </w:pPr>
    </w:p>
    <w:p w:rsidR="004657F4" w:rsidRPr="002E7B57" w:rsidRDefault="004657F4" w:rsidP="004657F4">
      <w:pPr>
        <w:ind w:left="2835"/>
        <w:rPr>
          <w:rFonts w:ascii="Arial Narrow" w:hAnsi="Arial Narrow" w:cs="Calibri"/>
          <w:b/>
          <w:bCs/>
        </w:rPr>
      </w:pPr>
    </w:p>
    <w:p w:rsidR="004657F4" w:rsidRPr="002E7B57" w:rsidRDefault="004657F4" w:rsidP="004657F4">
      <w:pPr>
        <w:numPr>
          <w:ilvl w:val="0"/>
          <w:numId w:val="11"/>
        </w:numPr>
        <w:tabs>
          <w:tab w:val="clear" w:pos="2160"/>
          <w:tab w:val="clear" w:pos="2880"/>
          <w:tab w:val="clear" w:pos="4500"/>
        </w:tabs>
        <w:ind w:left="3686" w:hanging="284"/>
        <w:rPr>
          <w:rFonts w:ascii="Arial Narrow" w:hAnsi="Arial Narrow" w:cs="Calibri"/>
          <w:b/>
          <w:bCs/>
        </w:rPr>
      </w:pPr>
      <w:r w:rsidRPr="002E7B57">
        <w:rPr>
          <w:rFonts w:ascii="Arial Narrow" w:hAnsi="Arial Narrow" w:cs="Calibri"/>
          <w:b/>
          <w:bCs/>
        </w:rPr>
        <w:t>PLATOBNÉ PODMIENKY</w:t>
      </w:r>
    </w:p>
    <w:p w:rsidR="004657F4" w:rsidRPr="002E7B57" w:rsidRDefault="004657F4" w:rsidP="004657F4">
      <w:pPr>
        <w:jc w:val="both"/>
        <w:rPr>
          <w:rFonts w:ascii="Arial Narrow" w:hAnsi="Arial Narrow" w:cs="Calibri"/>
        </w:rPr>
      </w:pP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lastRenderedPageBreak/>
        <w:t>Objednávateľ sa zaväzuje za poskytnuté plnenie zaplatiť poskytovateľovi cenu podľa článku 3 tejto dohody na základe faktúry, ktorú je poskytovateľ oprávnený vystaviť po splnení podmienok stanovených v tejto dohode. Neoddeliteľnou prílohou faktúry bude písomný dodací list podpísaný oprávnenými osobami zmluvných strán. Objednávateľ neposkytne poskytovateľovi preddavok na zrealizovanie predmetu dohody.</w:t>
      </w: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Úhrada predmetu tejto dohody alebo jeho časti sa bude realizovať formou bezhotovostného platobného styku prostredníctvom faktúr doručených poskytovateľom do podateľne objednávateľa v lehote 30 kalendárnych dní odo dňa doručenia faktúry. Za riadne vystavenú faktúru sa považuje faktúra vystavená v súlade s touto rámcovou dohodou a príslušnou objednávkou, ktorá obsahuje náležitosti daňového dokladu podľa predpisov platných na území Slovenskej republiky.</w:t>
      </w: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Faktúra musí obsahovať náležitosti podľa § 74 Zákona č. 222/2004 Z. z. o dani z pridanej hodnoty v znení neskorších predpisov a číslo príslušnej objednávky a rámcovej dohody Objednávateľa. V prípade, že faktúra bude obsahovať nesprávne alebo neúplné údaje, má Objednávateľ právo v lehote splatnosti faktúru vrátiť Poskytovateľovi na opravu. Poskytovateľ faktúru opraví alebo vystaví novú a doručí ju Objednávateľovi. Nová lehota splatnosti začne plynúť dňom doručenia doplnenej alebo správne vystavenej faktúry Objednávateľovi.</w:t>
      </w: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Faktúra sa považuje za zaplatenú dňom pripísania fakturovanej sumy na účet poskytovateľa.</w:t>
      </w: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K fakturovaným cenám bude poskytovateľ fakturovať DPH v zmysle právnych predpisov účinných v čase poskytnutia predmetu plnenia podľa príslušnej objednávky. Za správne vyčíslenie výšky DPH zodpovedá v plnom rozsahu poskytovateľ.</w:t>
      </w:r>
    </w:p>
    <w:p w:rsidR="004657F4" w:rsidRPr="002E7B57" w:rsidRDefault="004657F4" w:rsidP="004657F4">
      <w:pPr>
        <w:pStyle w:val="Aaa"/>
        <w:numPr>
          <w:ilvl w:val="1"/>
          <w:numId w:val="11"/>
        </w:numPr>
        <w:spacing w:after="120"/>
        <w:ind w:left="788" w:hanging="431"/>
        <w:rPr>
          <w:rFonts w:ascii="Arial Narrow" w:hAnsi="Arial Narrow"/>
        </w:rPr>
      </w:pPr>
      <w:r w:rsidRPr="002E7B57">
        <w:rPr>
          <w:rFonts w:ascii="Arial Narrow" w:hAnsi="Arial Narrow"/>
        </w:rPr>
        <w:t>Poskytovateľ nie je oprávnený previesť práva a povinnosti vyplývajúce pre neho z tejto dohody, objednávok ani ich časti, na inú osobu. Poskytovateľ ďalej nie je oprávnený postúpiť a ani založiť akékoľvek svoje pohľadávky voči objednávateľovi vzniknuté na základe alebo v súvislosti s touto rámcovou dohodou alebo s plnením záväzkov podľa tejto rámcovej dohody. Poskytovateľ nie je oprávnený jednostranne započítať akúkoľvek svoju pohľadávku voči objednávateľovi vzniknutú z akéhokoľvek dôvodu proti pohľadávke objednávateľa voči poskytovateľovi vzniknutej na základe alebo v súvislosti s touto rámcovou dohodou.</w:t>
      </w:r>
    </w:p>
    <w:p w:rsidR="004657F4" w:rsidRPr="002E7B57" w:rsidRDefault="004657F4" w:rsidP="004657F4">
      <w:pPr>
        <w:pStyle w:val="Aaa"/>
        <w:numPr>
          <w:ilvl w:val="0"/>
          <w:numId w:val="0"/>
        </w:numPr>
        <w:rPr>
          <w:rFonts w:ascii="Arial Narrow" w:hAnsi="Arial Narrow"/>
        </w:rPr>
      </w:pPr>
      <w:r w:rsidRPr="002E7B57">
        <w:rPr>
          <w:rFonts w:ascii="Arial Narrow" w:hAnsi="Arial Narrow"/>
        </w:rPr>
        <w:t> </w:t>
      </w:r>
    </w:p>
    <w:p w:rsidR="004657F4" w:rsidRPr="002E7B57" w:rsidRDefault="004657F4" w:rsidP="004657F4">
      <w:pPr>
        <w:pStyle w:val="Odsekzoznamu"/>
        <w:numPr>
          <w:ilvl w:val="0"/>
          <w:numId w:val="11"/>
        </w:numPr>
        <w:tabs>
          <w:tab w:val="clear" w:pos="2160"/>
          <w:tab w:val="clear" w:pos="2880"/>
          <w:tab w:val="clear" w:pos="4500"/>
        </w:tabs>
        <w:ind w:left="1418" w:firstLine="2410"/>
        <w:rPr>
          <w:rFonts w:ascii="Arial Narrow" w:hAnsi="Arial Narrow" w:cs="Calibri"/>
          <w:b/>
          <w:bCs/>
        </w:rPr>
      </w:pPr>
      <w:r w:rsidRPr="002E7B57">
        <w:rPr>
          <w:rFonts w:ascii="Arial Narrow" w:hAnsi="Arial Narrow" w:cs="Calibri"/>
          <w:b/>
          <w:bCs/>
        </w:rPr>
        <w:t>ZODPOVEDNOSŤ ZA VADY</w:t>
      </w:r>
    </w:p>
    <w:p w:rsidR="004657F4" w:rsidRPr="002E7B57" w:rsidRDefault="004657F4" w:rsidP="004657F4">
      <w:pPr>
        <w:rPr>
          <w:rFonts w:ascii="Arial Narrow" w:hAnsi="Arial Narrow" w:cs="Calibri"/>
          <w:b/>
          <w:bCs/>
          <w:u w:val="single"/>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 xml:space="preserve">Poskytovateľ sa zaväzuje, že licencie a služby licenčnej podpory </w:t>
      </w:r>
      <w:proofErr w:type="spellStart"/>
      <w:r w:rsidRPr="002E7B57">
        <w:rPr>
          <w:rFonts w:ascii="Arial Narrow" w:hAnsi="Arial Narrow"/>
        </w:rPr>
        <w:t>Talend</w:t>
      </w:r>
      <w:proofErr w:type="spellEnd"/>
      <w:r w:rsidRPr="002E7B57">
        <w:rPr>
          <w:rFonts w:ascii="Arial Narrow" w:hAnsi="Arial Narrow"/>
        </w:rPr>
        <w:t xml:space="preserve"> dodá objednávateľovi v rozsahu a kvalite dohodnutej touto rámcovou dohodou, a to najmä z hľadiska ich úplnosti, prevádzkovej spôsobilosti a spoľahlivosti. </w:t>
      </w:r>
    </w:p>
    <w:p w:rsidR="004657F4" w:rsidRPr="002E7B57" w:rsidRDefault="004657F4" w:rsidP="004657F4">
      <w:pPr>
        <w:pStyle w:val="Aaa"/>
        <w:numPr>
          <w:ilvl w:val="0"/>
          <w:numId w:val="0"/>
        </w:numPr>
        <w:ind w:left="788" w:hanging="431"/>
        <w:rPr>
          <w:rFonts w:ascii="Arial Narrow" w:hAnsi="Arial Narrow"/>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Poskytovateľ zodpovedá za bezchybné poskytovanie služieb licenčnej podpory, tvoriacich predmet plnenia tejto dohody ako aj za to, že tieto služby sú v súlade so všeobecne záväznými právnymi predpismi Slovenskej republiky a príslušnými technickými normami.</w:t>
      </w:r>
    </w:p>
    <w:p w:rsidR="004657F4" w:rsidRPr="002E7B57" w:rsidRDefault="004657F4" w:rsidP="004657F4">
      <w:pPr>
        <w:pStyle w:val="Odsekzoznamu"/>
        <w:ind w:left="788" w:hanging="431"/>
        <w:jc w:val="both"/>
        <w:rPr>
          <w:rFonts w:ascii="Arial Narrow" w:hAnsi="Arial Narrow"/>
        </w:rPr>
      </w:pPr>
    </w:p>
    <w:p w:rsidR="004657F4" w:rsidRPr="002E7B57" w:rsidRDefault="004657F4" w:rsidP="004657F4">
      <w:pPr>
        <w:rPr>
          <w:rFonts w:ascii="Arial Narrow" w:hAnsi="Arial Narrow"/>
        </w:rPr>
      </w:pPr>
    </w:p>
    <w:p w:rsidR="004657F4" w:rsidRPr="002E7B57" w:rsidRDefault="004657F4" w:rsidP="004657F4">
      <w:pPr>
        <w:rPr>
          <w:rFonts w:ascii="Arial Narrow" w:hAnsi="Arial Narrow" w:cs="Calibri"/>
          <w:b/>
          <w:bCs/>
        </w:rPr>
      </w:pPr>
    </w:p>
    <w:p w:rsidR="004657F4" w:rsidRPr="002E7B57" w:rsidRDefault="004657F4" w:rsidP="004657F4">
      <w:pPr>
        <w:numPr>
          <w:ilvl w:val="0"/>
          <w:numId w:val="11"/>
        </w:numPr>
        <w:tabs>
          <w:tab w:val="clear" w:pos="2160"/>
          <w:tab w:val="clear" w:pos="2880"/>
          <w:tab w:val="clear" w:pos="4500"/>
        </w:tabs>
        <w:ind w:left="1843" w:hanging="283"/>
        <w:jc w:val="center"/>
        <w:rPr>
          <w:rFonts w:ascii="Arial Narrow" w:hAnsi="Arial Narrow" w:cs="Calibri"/>
          <w:b/>
          <w:bCs/>
        </w:rPr>
      </w:pPr>
      <w:r w:rsidRPr="002E7B57">
        <w:rPr>
          <w:rFonts w:ascii="Arial Narrow" w:hAnsi="Arial Narrow" w:cs="Calibri"/>
          <w:b/>
          <w:bCs/>
        </w:rPr>
        <w:t>ZODPOVEDNOSŤ ZA ŠKODU A SANKCIE</w:t>
      </w:r>
    </w:p>
    <w:p w:rsidR="004657F4" w:rsidRPr="002E7B57" w:rsidRDefault="004657F4" w:rsidP="004657F4">
      <w:pPr>
        <w:pStyle w:val="Aaa"/>
        <w:numPr>
          <w:ilvl w:val="0"/>
          <w:numId w:val="0"/>
        </w:numPr>
        <w:ind w:left="792"/>
        <w:rPr>
          <w:rFonts w:ascii="Arial Narrow" w:hAnsi="Arial Narrow"/>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V prípade omeškania poskytovateľa s dodaním alebo poskytnutím plnenia predmetu rámcovej dohody/objednávky uvedených v príslušnej objednávke je objednávateľ oprávnený fakturovať poskytovateľovi zmluvnú pokutu vo výške 0,2% z celkovej ceny plnenia predmetu dohody uvedenej v príslušnej objednávke, a to za každý, aj začatý deň omeškania.</w:t>
      </w:r>
    </w:p>
    <w:p w:rsidR="004657F4" w:rsidRPr="002E7B57" w:rsidRDefault="004657F4" w:rsidP="004657F4">
      <w:pPr>
        <w:pStyle w:val="Aaa"/>
        <w:numPr>
          <w:ilvl w:val="0"/>
          <w:numId w:val="0"/>
        </w:numPr>
        <w:ind w:left="788"/>
        <w:rPr>
          <w:rFonts w:ascii="Arial Narrow" w:hAnsi="Arial Narrow"/>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 xml:space="preserve">V prípade omeškania platby v zmysle tejto dohody si poskytovateľ môže uplatniť voči objednávateľovi úrok z omeškania vo výške podľa Nariadenia vlády SR č. 21/2013 </w:t>
      </w:r>
      <w:proofErr w:type="spellStart"/>
      <w:r w:rsidRPr="002E7B57">
        <w:rPr>
          <w:rFonts w:ascii="Arial Narrow" w:hAnsi="Arial Narrow"/>
        </w:rPr>
        <w:t>Z.z</w:t>
      </w:r>
      <w:proofErr w:type="spellEnd"/>
      <w:r w:rsidRPr="002E7B57">
        <w:rPr>
          <w:rFonts w:ascii="Arial Narrow" w:hAnsi="Arial Narrow"/>
        </w:rPr>
        <w:t>. z dlžnej sumy, za každý aj začatý deň omeškania platby.</w:t>
      </w:r>
    </w:p>
    <w:p w:rsidR="004657F4" w:rsidRPr="002E7B57" w:rsidRDefault="004657F4" w:rsidP="004657F4">
      <w:pPr>
        <w:pStyle w:val="Aaa"/>
        <w:numPr>
          <w:ilvl w:val="0"/>
          <w:numId w:val="0"/>
        </w:numPr>
        <w:ind w:left="788"/>
        <w:rPr>
          <w:rFonts w:ascii="Arial Narrow" w:hAnsi="Arial Narrow"/>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 xml:space="preserve">Zaplatenie zmluvnej pokuty podľa tejto dohody nemá vplyv na nárok na náhradu škody, ktorá vznikla z nesplnenia povinnosti zabezpečenej zmluvnou pokutou. Zmluvná pokuta sa v takomto prípade nezapočíta do náhrady škody. </w:t>
      </w:r>
    </w:p>
    <w:p w:rsidR="004657F4" w:rsidRPr="002E7B57" w:rsidRDefault="004657F4" w:rsidP="004657F4">
      <w:pPr>
        <w:pStyle w:val="Aaa"/>
        <w:numPr>
          <w:ilvl w:val="0"/>
          <w:numId w:val="0"/>
        </w:numPr>
        <w:ind w:left="788"/>
        <w:rPr>
          <w:rFonts w:ascii="Arial Narrow" w:hAnsi="Arial Narrow"/>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Zmluvné pokuty podľa tejto dohody sa fakturujú zmluvnými stranami priebežne a sú splatné do 30 kalendárnych dní odo dňa doručenia faktúry druhej zmluvnej strane.</w:t>
      </w:r>
    </w:p>
    <w:p w:rsidR="004657F4" w:rsidRPr="002E7B57" w:rsidRDefault="004657F4" w:rsidP="004657F4">
      <w:pPr>
        <w:pStyle w:val="Aaa"/>
        <w:numPr>
          <w:ilvl w:val="0"/>
          <w:numId w:val="0"/>
        </w:numPr>
        <w:ind w:left="788"/>
        <w:rPr>
          <w:rFonts w:ascii="Arial Narrow" w:hAnsi="Arial Narrow"/>
        </w:rPr>
      </w:pPr>
    </w:p>
    <w:p w:rsidR="004657F4" w:rsidRPr="002E7B57" w:rsidRDefault="004657F4" w:rsidP="004657F4">
      <w:pPr>
        <w:pStyle w:val="Aaa"/>
        <w:numPr>
          <w:ilvl w:val="1"/>
          <w:numId w:val="11"/>
        </w:numPr>
        <w:ind w:left="788" w:hanging="431"/>
        <w:rPr>
          <w:rFonts w:ascii="Arial Narrow" w:hAnsi="Arial Narrow"/>
        </w:rPr>
      </w:pPr>
      <w:r w:rsidRPr="002E7B57">
        <w:rPr>
          <w:rFonts w:ascii="Arial Narrow" w:hAnsi="Arial Narrow"/>
        </w:rPr>
        <w:t xml:space="preserve">Ak jedna zo zmluvných strán spôsobí porušením svojich povinností vyplývajúcich jej z tejto rámcovej dohody alebo objednávky akúkoľvek škodu druhej zmluvnej strane, jej zodpovednosť za škodu a povinnosť na náhradu </w:t>
      </w:r>
      <w:r w:rsidRPr="002E7B57">
        <w:rPr>
          <w:rFonts w:ascii="Arial Narrow" w:hAnsi="Arial Narrow"/>
        </w:rPr>
        <w:lastRenderedPageBreak/>
        <w:t>škody takto spôsobenú druhej zmluvnej strane sa bude riadiť a spravovať ustanoveniami § 373 a </w:t>
      </w:r>
      <w:proofErr w:type="spellStart"/>
      <w:r w:rsidRPr="002E7B57">
        <w:rPr>
          <w:rFonts w:ascii="Arial Narrow" w:hAnsi="Arial Narrow"/>
        </w:rPr>
        <w:t>nasl</w:t>
      </w:r>
      <w:proofErr w:type="spellEnd"/>
      <w:r w:rsidRPr="002E7B57">
        <w:rPr>
          <w:rFonts w:ascii="Arial Narrow" w:hAnsi="Arial Narrow"/>
        </w:rPr>
        <w:t>. Obchodného zákonníka.</w:t>
      </w:r>
    </w:p>
    <w:p w:rsidR="004657F4" w:rsidRPr="002E7B57" w:rsidRDefault="004657F4" w:rsidP="004657F4">
      <w:pPr>
        <w:pStyle w:val="Aaa"/>
        <w:numPr>
          <w:ilvl w:val="0"/>
          <w:numId w:val="0"/>
        </w:numPr>
        <w:ind w:left="851"/>
        <w:rPr>
          <w:rFonts w:ascii="Arial Narrow" w:hAnsi="Arial Narrow"/>
        </w:rPr>
      </w:pPr>
    </w:p>
    <w:p w:rsidR="004657F4" w:rsidRPr="002E7B57" w:rsidRDefault="004657F4" w:rsidP="004657F4">
      <w:pPr>
        <w:rPr>
          <w:rFonts w:ascii="Arial Narrow" w:hAnsi="Arial Narrow" w:cs="Calibri"/>
          <w:bCs/>
        </w:rPr>
      </w:pPr>
    </w:p>
    <w:p w:rsidR="004657F4" w:rsidRPr="002E7B57" w:rsidRDefault="004657F4" w:rsidP="004657F4">
      <w:pPr>
        <w:numPr>
          <w:ilvl w:val="0"/>
          <w:numId w:val="11"/>
        </w:numPr>
        <w:tabs>
          <w:tab w:val="clear" w:pos="2160"/>
          <w:tab w:val="clear" w:pos="2880"/>
          <w:tab w:val="clear" w:pos="4500"/>
        </w:tabs>
        <w:ind w:firstLine="65"/>
        <w:jc w:val="center"/>
        <w:rPr>
          <w:rFonts w:ascii="Arial Narrow" w:hAnsi="Arial Narrow" w:cs="Calibri"/>
          <w:b/>
          <w:bCs/>
        </w:rPr>
      </w:pPr>
      <w:r w:rsidRPr="002E7B57">
        <w:rPr>
          <w:rFonts w:ascii="Arial Narrow" w:hAnsi="Arial Narrow" w:cs="Calibri"/>
          <w:b/>
          <w:bCs/>
        </w:rPr>
        <w:t>VŠEOBECNÉ USTANOVENIA A REGISTER PARTNEROV VEREJNÉHO SEKTORA</w:t>
      </w:r>
    </w:p>
    <w:p w:rsidR="004657F4" w:rsidRPr="002E7B57" w:rsidRDefault="004657F4" w:rsidP="004657F4">
      <w:pPr>
        <w:jc w:val="both"/>
        <w:rPr>
          <w:rFonts w:ascii="Arial Narrow" w:hAnsi="Arial Narrow" w:cs="Calibri"/>
        </w:rPr>
      </w:pPr>
    </w:p>
    <w:p w:rsidR="004657F4" w:rsidRPr="002E7B57" w:rsidRDefault="004657F4" w:rsidP="004657F4">
      <w:pPr>
        <w:pStyle w:val="Zkladntext2"/>
        <w:ind w:left="360"/>
        <w:rPr>
          <w:rFonts w:ascii="Arial Narrow" w:hAnsi="Arial Narrow" w:cs="Calibri"/>
          <w:lang w:eastAsia="x-none"/>
        </w:rPr>
      </w:pPr>
    </w:p>
    <w:p w:rsidR="004657F4" w:rsidRPr="002E7B57" w:rsidRDefault="004657F4" w:rsidP="004657F4">
      <w:pPr>
        <w:pStyle w:val="Aaa"/>
        <w:numPr>
          <w:ilvl w:val="1"/>
          <w:numId w:val="11"/>
        </w:numPr>
        <w:ind w:left="851" w:hanging="494"/>
        <w:rPr>
          <w:rFonts w:ascii="Arial Narrow" w:hAnsi="Arial Narrow"/>
        </w:rPr>
      </w:pPr>
      <w:r w:rsidRPr="002E7B57">
        <w:rPr>
          <w:rFonts w:ascii="Arial Narrow" w:hAnsi="Arial Narrow"/>
        </w:rPr>
        <w:t xml:space="preserve">Zmluvné strany sa zaväzujú, že všetky informácie a dokumenty, ktoré o druhej zmluvnej strane získa zmluvná strana v súvislosti s činnosťami vykonávanými alebo poskytovanými podľa tejto rámcovej dohody a/alebo v súvislosti s plnením predmetu tejto rámcovej dohody budú uchovávať v tajnosti a neposkytnú ich tretej osobe. Zmluvné strany sa ďalej zaväzujú zaobchádzať s informáciami získanými počas plnenia predmetu tejto rámcovej dohody ako s dôvernými informáciami a zabezpečiť ich ochranu pred tretími osobami v súlade s § 17 a § 271 Obchodného zákonníka. Zmluvné strany sa zaväzujú dodržiavať povinnosti vyplývajúce im z tohto bodu rámcovej dohody aj po zániku tejto rámcovej dohody. Za dôverné informácie sa nepovažujú a porušením povinnosti neposkytnúť tu uvedené informácie tretím osobám sa nepovažuje zverejnenie tejto rámcovej dohody, vrátanej jej prílohy č. 1, v súlade s platnou legislatívou Slovenskej republiky a poskytnutie informácií podľa zákona č. 211/2000 </w:t>
      </w:r>
      <w:proofErr w:type="spellStart"/>
      <w:r w:rsidRPr="002E7B57">
        <w:rPr>
          <w:rFonts w:ascii="Arial Narrow" w:hAnsi="Arial Narrow"/>
        </w:rPr>
        <w:t>Z.z</w:t>
      </w:r>
      <w:proofErr w:type="spellEnd"/>
      <w:r w:rsidRPr="002E7B57">
        <w:rPr>
          <w:rFonts w:ascii="Arial Narrow" w:hAnsi="Arial Narrow"/>
        </w:rPr>
        <w:t>. o slobodnom prístupe k informáciám.</w:t>
      </w:r>
    </w:p>
    <w:p w:rsidR="004657F4" w:rsidRPr="002E7B57" w:rsidRDefault="004657F4" w:rsidP="004657F4">
      <w:pPr>
        <w:pStyle w:val="Aaa"/>
        <w:numPr>
          <w:ilvl w:val="0"/>
          <w:numId w:val="0"/>
        </w:numPr>
        <w:rPr>
          <w:rFonts w:ascii="Arial Narrow" w:hAnsi="Arial Narrow"/>
        </w:rPr>
      </w:pPr>
    </w:p>
    <w:p w:rsidR="004657F4" w:rsidRPr="002E7B57" w:rsidRDefault="004657F4" w:rsidP="004657F4">
      <w:pPr>
        <w:pStyle w:val="Aaa"/>
        <w:numPr>
          <w:ilvl w:val="1"/>
          <w:numId w:val="11"/>
        </w:numPr>
        <w:ind w:left="851" w:hanging="494"/>
        <w:rPr>
          <w:rFonts w:ascii="Arial Narrow" w:hAnsi="Arial Narrow"/>
        </w:rPr>
      </w:pPr>
      <w:r w:rsidRPr="002E7B57">
        <w:rPr>
          <w:rFonts w:ascii="Arial Narrow" w:hAnsi="Arial Narrow"/>
        </w:rPr>
        <w:t>Zmluvné strany sa dohodli, že postúpenie pohľadávok a záväzkov vyplývajúcich z tejto rámcovej dohody tretej osobe je vylúčené.</w:t>
      </w:r>
    </w:p>
    <w:p w:rsidR="004657F4" w:rsidRPr="002E7B57" w:rsidRDefault="004657F4" w:rsidP="004657F4">
      <w:pPr>
        <w:pStyle w:val="Odsekzoznamu"/>
        <w:rPr>
          <w:rFonts w:ascii="Arial Narrow" w:hAnsi="Arial Narrow"/>
        </w:rPr>
      </w:pPr>
    </w:p>
    <w:p w:rsidR="004657F4" w:rsidRPr="002E7B57" w:rsidRDefault="004657F4" w:rsidP="004657F4">
      <w:pPr>
        <w:pStyle w:val="Aaa"/>
        <w:numPr>
          <w:ilvl w:val="1"/>
          <w:numId w:val="11"/>
        </w:numPr>
        <w:ind w:left="851" w:hanging="494"/>
        <w:rPr>
          <w:rFonts w:ascii="Arial Narrow" w:hAnsi="Arial Narrow"/>
        </w:rPr>
      </w:pPr>
      <w:r w:rsidRPr="002E7B57">
        <w:rPr>
          <w:rFonts w:ascii="Arial Narrow" w:hAnsi="Arial Narrow"/>
          <w:lang w:eastAsia="x-none"/>
        </w:rPr>
        <w:t>Poskytovateľ berie na vedomie, že rámcová dohoda má charakter centrálnej zmluvy. Služby a produkty objednávané podľa príslušných objednávok/žiadostí oprávnených subjektov uvedených v prílohe č. 2 tejto rámcovej dohody budú odovzdané a prevzaté na základe preberacieho protokolu, podpísaného oprávneným zástupcom objednávateľa a oprávneného subjektu. Podpísaniu preberacieho protokolu predchádza podpísanie dodacieho listu medzi objednávateľom a poskytovateľom, ktorý bude pripojený k faktúre, vystavenej poskytovateľom.</w:t>
      </w:r>
    </w:p>
    <w:p w:rsidR="004657F4" w:rsidRPr="002E7B57" w:rsidRDefault="004657F4" w:rsidP="004657F4">
      <w:pPr>
        <w:pStyle w:val="Odsekzoznamu"/>
        <w:ind w:left="851" w:hanging="494"/>
        <w:rPr>
          <w:rFonts w:ascii="Arial Narrow" w:hAnsi="Arial Narrow" w:cs="Calibri"/>
          <w:lang w:eastAsia="x-none"/>
        </w:rPr>
      </w:pPr>
    </w:p>
    <w:p w:rsidR="004657F4" w:rsidRPr="002E7B57" w:rsidRDefault="004657F4" w:rsidP="004657F4">
      <w:pPr>
        <w:pStyle w:val="Aaa"/>
        <w:numPr>
          <w:ilvl w:val="1"/>
          <w:numId w:val="11"/>
        </w:numPr>
        <w:ind w:left="851" w:hanging="494"/>
        <w:rPr>
          <w:rFonts w:ascii="Arial Narrow" w:hAnsi="Arial Narrow"/>
          <w:lang w:eastAsia="x-none"/>
        </w:rPr>
      </w:pPr>
      <w:r w:rsidRPr="002E7B57">
        <w:rPr>
          <w:rFonts w:ascii="Arial Narrow" w:hAnsi="Arial Narrow"/>
          <w:lang w:eastAsia="x-none"/>
        </w:rPr>
        <w:t xml:space="preserve">Objednávateľ je povinný dňom podpísania preberacieho protokolu podľa bodu 9.3 umožniť oprávnenému subjektu použitie produktov </w:t>
      </w:r>
      <w:proofErr w:type="spellStart"/>
      <w:r w:rsidRPr="002E7B57">
        <w:rPr>
          <w:rFonts w:ascii="Arial Narrow" w:hAnsi="Arial Narrow"/>
          <w:lang w:eastAsia="x-none"/>
        </w:rPr>
        <w:t>Talend</w:t>
      </w:r>
      <w:proofErr w:type="spellEnd"/>
      <w:r w:rsidRPr="002E7B57">
        <w:rPr>
          <w:rFonts w:ascii="Arial Narrow" w:hAnsi="Arial Narrow"/>
          <w:lang w:eastAsia="x-none"/>
        </w:rPr>
        <w:t xml:space="preserve"> v rozsahu uvedenom v jej príslušnej objednávke/žiadosti. </w:t>
      </w:r>
    </w:p>
    <w:p w:rsidR="004657F4" w:rsidRPr="002E7B57" w:rsidRDefault="004657F4" w:rsidP="004657F4">
      <w:pPr>
        <w:pStyle w:val="Aaa"/>
        <w:numPr>
          <w:ilvl w:val="0"/>
          <w:numId w:val="0"/>
        </w:numPr>
        <w:ind w:left="851" w:hanging="494"/>
        <w:rPr>
          <w:rFonts w:ascii="Arial Narrow" w:hAnsi="Arial Narrow"/>
          <w:lang w:eastAsia="x-none"/>
        </w:rPr>
      </w:pPr>
    </w:p>
    <w:p w:rsidR="004657F4" w:rsidRPr="002E7B57" w:rsidRDefault="004657F4" w:rsidP="004657F4">
      <w:pPr>
        <w:pStyle w:val="Aaa"/>
        <w:numPr>
          <w:ilvl w:val="1"/>
          <w:numId w:val="11"/>
        </w:numPr>
        <w:ind w:left="851" w:hanging="494"/>
        <w:rPr>
          <w:rFonts w:ascii="Arial Narrow" w:hAnsi="Arial Narrow"/>
          <w:lang w:eastAsia="x-none"/>
        </w:rPr>
      </w:pPr>
      <w:r w:rsidRPr="002E7B57">
        <w:rPr>
          <w:rFonts w:ascii="Arial Narrow" w:hAnsi="Arial Narrow"/>
          <w:lang w:eastAsia="x-none"/>
        </w:rPr>
        <w:t xml:space="preserve">Oprávnený subjekt je povinný používať poskytnuté produkty </w:t>
      </w:r>
      <w:proofErr w:type="spellStart"/>
      <w:r w:rsidRPr="002E7B57">
        <w:rPr>
          <w:rFonts w:ascii="Arial Narrow" w:hAnsi="Arial Narrow"/>
          <w:lang w:eastAsia="x-none"/>
        </w:rPr>
        <w:t>Talend</w:t>
      </w:r>
      <w:proofErr w:type="spellEnd"/>
      <w:r w:rsidRPr="002E7B57">
        <w:rPr>
          <w:rFonts w:ascii="Arial Narrow" w:hAnsi="Arial Narrow"/>
          <w:lang w:eastAsia="x-none"/>
        </w:rPr>
        <w:t xml:space="preserve"> v súlade s touto Dohodou a licenčnými podmienkami </w:t>
      </w:r>
      <w:proofErr w:type="spellStart"/>
      <w:r w:rsidRPr="002E7B57">
        <w:rPr>
          <w:rFonts w:ascii="Arial Narrow" w:hAnsi="Arial Narrow"/>
          <w:lang w:eastAsia="x-none"/>
        </w:rPr>
        <w:t>Talend</w:t>
      </w:r>
      <w:proofErr w:type="spellEnd"/>
      <w:r w:rsidRPr="002E7B57">
        <w:rPr>
          <w:rFonts w:ascii="Arial Narrow" w:hAnsi="Arial Narrow"/>
          <w:lang w:eastAsia="x-none"/>
        </w:rPr>
        <w:t xml:space="preserve">, zverejnenými na </w:t>
      </w:r>
      <w:hyperlink r:id="rId5" w:history="1">
        <w:r w:rsidRPr="002E7B57">
          <w:rPr>
            <w:rStyle w:val="Hypertextovprepojenie"/>
            <w:rFonts w:ascii="Arial Narrow" w:hAnsi="Arial Narrow"/>
            <w:lang w:eastAsia="x-none"/>
          </w:rPr>
          <w:t>https://www.talend.com/legal-terms/fr-eula/</w:t>
        </w:r>
      </w:hyperlink>
    </w:p>
    <w:p w:rsidR="004657F4" w:rsidRPr="002E7B57" w:rsidRDefault="004657F4" w:rsidP="004657F4">
      <w:pPr>
        <w:pStyle w:val="Aaa"/>
        <w:numPr>
          <w:ilvl w:val="0"/>
          <w:numId w:val="0"/>
        </w:numPr>
        <w:ind w:left="851" w:hanging="494"/>
        <w:rPr>
          <w:rFonts w:ascii="Arial Narrow" w:hAnsi="Arial Narrow"/>
          <w:lang w:eastAsia="x-none"/>
        </w:rPr>
      </w:pPr>
    </w:p>
    <w:p w:rsidR="004657F4" w:rsidRPr="002E7B57" w:rsidRDefault="004657F4" w:rsidP="004657F4">
      <w:pPr>
        <w:pStyle w:val="Aaa"/>
        <w:numPr>
          <w:ilvl w:val="1"/>
          <w:numId w:val="11"/>
        </w:numPr>
        <w:ind w:left="851" w:hanging="494"/>
        <w:rPr>
          <w:rFonts w:ascii="Arial Narrow" w:hAnsi="Arial Narrow"/>
          <w:lang w:eastAsia="x-none"/>
        </w:rPr>
      </w:pPr>
      <w:r w:rsidRPr="002E7B57">
        <w:rPr>
          <w:rFonts w:ascii="Arial Narrow" w:hAnsi="Arial Narrow"/>
          <w:lang w:eastAsia="x-none"/>
        </w:rPr>
        <w:t xml:space="preserve">V prípade porušenia podmienok užívania preberaných produktov </w:t>
      </w:r>
      <w:proofErr w:type="spellStart"/>
      <w:r w:rsidRPr="002E7B57">
        <w:rPr>
          <w:rFonts w:ascii="Arial Narrow" w:hAnsi="Arial Narrow"/>
          <w:lang w:eastAsia="x-none"/>
        </w:rPr>
        <w:t>Talend</w:t>
      </w:r>
      <w:proofErr w:type="spellEnd"/>
      <w:r w:rsidRPr="002E7B57">
        <w:rPr>
          <w:rFonts w:ascii="Arial Narrow" w:hAnsi="Arial Narrow"/>
          <w:lang w:eastAsia="x-none"/>
        </w:rPr>
        <w:t xml:space="preserve"> a/alebo služieb podpory oprávneným subjektom prechádza na oprávnený subjekt aj zodpovednosť za škody a sankcie spôsobené porušením licenčných podmienok </w:t>
      </w:r>
      <w:proofErr w:type="spellStart"/>
      <w:r w:rsidRPr="002E7B57">
        <w:rPr>
          <w:rFonts w:ascii="Arial Narrow" w:hAnsi="Arial Narrow"/>
          <w:lang w:eastAsia="x-none"/>
        </w:rPr>
        <w:t>Talend</w:t>
      </w:r>
      <w:proofErr w:type="spellEnd"/>
      <w:r w:rsidRPr="002E7B57">
        <w:rPr>
          <w:rFonts w:ascii="Arial Narrow" w:hAnsi="Arial Narrow"/>
          <w:lang w:eastAsia="x-none"/>
        </w:rPr>
        <w:t>.</w:t>
      </w:r>
    </w:p>
    <w:p w:rsidR="004657F4" w:rsidRPr="002E7B57" w:rsidRDefault="004657F4" w:rsidP="004657F4">
      <w:pPr>
        <w:pStyle w:val="Aaa"/>
        <w:numPr>
          <w:ilvl w:val="0"/>
          <w:numId w:val="0"/>
        </w:numPr>
        <w:ind w:left="851" w:hanging="494"/>
        <w:rPr>
          <w:rFonts w:ascii="Arial Narrow" w:hAnsi="Arial Narrow"/>
          <w:lang w:eastAsia="x-none"/>
        </w:rPr>
      </w:pPr>
    </w:p>
    <w:p w:rsidR="004657F4" w:rsidRPr="00A84477" w:rsidRDefault="004657F4" w:rsidP="004657F4">
      <w:pPr>
        <w:pStyle w:val="Aaa"/>
        <w:numPr>
          <w:ilvl w:val="1"/>
          <w:numId w:val="11"/>
        </w:numPr>
        <w:ind w:left="851" w:hanging="494"/>
        <w:rPr>
          <w:rFonts w:ascii="Arial Narrow" w:hAnsi="Arial Narrow"/>
          <w:lang w:eastAsia="x-none"/>
        </w:rPr>
      </w:pPr>
      <w:r w:rsidRPr="002E7B57">
        <w:rPr>
          <w:rFonts w:ascii="Arial Narrow" w:hAnsi="Arial Narrow"/>
          <w:lang w:eastAsia="x-none"/>
        </w:rPr>
        <w:t xml:space="preserve">Zodpovednosť za sankcie a škody znáša v plnom rozsahu oprávnený subjekt aj za organizácie vo svojej </w:t>
      </w:r>
      <w:r w:rsidRPr="00A84477">
        <w:rPr>
          <w:rFonts w:ascii="Arial Narrow" w:hAnsi="Arial Narrow"/>
          <w:lang w:eastAsia="x-none"/>
        </w:rPr>
        <w:t>zriaďovateľskej pôsobnosti, ktoré sú konečnými užívateľmi dotknutého Produktu.</w:t>
      </w:r>
    </w:p>
    <w:p w:rsidR="004657F4" w:rsidRPr="00A84477" w:rsidRDefault="004657F4" w:rsidP="004657F4">
      <w:pPr>
        <w:pStyle w:val="Aaa"/>
        <w:numPr>
          <w:ilvl w:val="0"/>
          <w:numId w:val="0"/>
        </w:numPr>
        <w:ind w:left="851"/>
        <w:rPr>
          <w:rFonts w:ascii="Arial Narrow" w:hAnsi="Arial Narrow"/>
          <w:lang w:eastAsia="x-none"/>
        </w:rPr>
      </w:pPr>
    </w:p>
    <w:p w:rsidR="004657F4" w:rsidRPr="00A84477" w:rsidRDefault="004657F4" w:rsidP="004657F4">
      <w:pPr>
        <w:pStyle w:val="Aaa"/>
        <w:numPr>
          <w:ilvl w:val="1"/>
          <w:numId w:val="11"/>
        </w:numPr>
        <w:ind w:left="851" w:hanging="494"/>
        <w:rPr>
          <w:rFonts w:ascii="Arial Narrow" w:hAnsi="Arial Narrow"/>
          <w:lang w:eastAsia="x-none"/>
        </w:rPr>
      </w:pPr>
      <w:r w:rsidRPr="00A84477">
        <w:rPr>
          <w:rFonts w:ascii="Arial Narrow" w:hAnsi="Arial Narrow"/>
          <w:lang w:eastAsia="x-none"/>
        </w:rPr>
        <w:t>Oprávnené subjekty a objednávateľ podpisom preberacieho protokolu súhlasia s poskytovaním potrebnej súčinnosti pri plnení záväzkov vyplývajúcich z tejto dohody a navzájom si budú oznamovať všetky okolnosti a informácie, ktoré môžu mať vplyv na plnenie jednotlivých objednávok podľa podmienok dohodnutých v Rámcovej dohode.</w:t>
      </w:r>
    </w:p>
    <w:p w:rsidR="004657F4" w:rsidRPr="00A84477" w:rsidRDefault="004657F4" w:rsidP="004657F4">
      <w:pPr>
        <w:pStyle w:val="Aaa"/>
        <w:numPr>
          <w:ilvl w:val="0"/>
          <w:numId w:val="0"/>
        </w:numPr>
        <w:ind w:left="851" w:hanging="494"/>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 xml:space="preserve">Práva a záväzky z tejto rámcovej dohody vyplývajúce prechádzajú po predchádzajúcom písomnom súhlase druhej zmluvnej strany na právnych nástupcov zmluvných strán. </w:t>
      </w:r>
    </w:p>
    <w:p w:rsidR="004657F4" w:rsidRPr="00A84477" w:rsidRDefault="004657F4" w:rsidP="004657F4">
      <w:pPr>
        <w:pStyle w:val="Odsekzoznamu"/>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 xml:space="preserve">Na poskytovanie niektorých plnení, ktoré tvoria súčasť poskytovaných plnení pre objednávateľa, má poskytovateľ, za podmienok dohodnutých v tejto rámcovej dohode, právo uzatvárať subdodávateľské zmluvy. Tým nie je dotknutá zodpovednosť poskytovateľa za plnenie zmluvy v súlade s § 41 ods. 8 zákona č. 343/2015 </w:t>
      </w:r>
      <w:proofErr w:type="spellStart"/>
      <w:r w:rsidRPr="00A84477">
        <w:rPr>
          <w:rFonts w:ascii="Arial Narrow" w:hAnsi="Arial Narrow"/>
        </w:rPr>
        <w:t>Z.z</w:t>
      </w:r>
      <w:proofErr w:type="spellEnd"/>
      <w:r w:rsidRPr="00A84477">
        <w:rPr>
          <w:rFonts w:ascii="Arial Narrow" w:hAnsi="Arial Narrow"/>
        </w:rPr>
        <w:t xml:space="preserve">. o verejnom obstarávaní v platnom znení a poskytovateľ je povinný odovzdávať objednávateľovi plnenia sám, na svoju zodpovednosť, v dohodnutom čase a v dohodnutej kvalite.  V prípade existencie subdodávateľov v čase uzatvorenia tejto rámcovej dohody tvorí zoznam subdodávateľov s ich identifikačnými údajmi a rozsahom ich plnenia neoddeliteľnú súčasť tejto rámcovej dohody. Zoznam subdodávateľov, vyhotovený poskytovateľom, musí obsahovať údaje podľa § 41 ods. 1 a 3 zákona č. 343/2015 </w:t>
      </w:r>
      <w:proofErr w:type="spellStart"/>
      <w:r w:rsidRPr="00A84477">
        <w:rPr>
          <w:rFonts w:ascii="Arial Narrow" w:hAnsi="Arial Narrow"/>
        </w:rPr>
        <w:t>Z.z</w:t>
      </w:r>
      <w:proofErr w:type="spellEnd"/>
      <w:r w:rsidRPr="00A84477">
        <w:rPr>
          <w:rFonts w:ascii="Arial Narrow" w:hAnsi="Arial Narrow"/>
        </w:rPr>
        <w:t xml:space="preserve">. o verejnom obstarávaní v platnom znení </w:t>
      </w:r>
      <w:r w:rsidRPr="00A84477">
        <w:rPr>
          <w:rFonts w:ascii="Arial Narrow" w:hAnsi="Arial Narrow"/>
        </w:rPr>
        <w:lastRenderedPageBreak/>
        <w:t xml:space="preserve">v nasledovnom rozsahu: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w:t>
      </w:r>
    </w:p>
    <w:p w:rsidR="004657F4" w:rsidRPr="00A84477" w:rsidRDefault="004657F4" w:rsidP="004657F4">
      <w:pPr>
        <w:pStyle w:val="Aaa"/>
        <w:numPr>
          <w:ilvl w:val="0"/>
          <w:numId w:val="0"/>
        </w:numPr>
        <w:ind w:left="851"/>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Poskytovateľ je počas trvania rámcovej dohody povinný oznámiť objednávateľovi akúkoľvek zmenu/doplnenie subdodávateľa a údaje o novom subdodávateľovi v rozsahu podľa predchádzajúceho bodu 9.10., posledná veta.</w:t>
      </w:r>
    </w:p>
    <w:p w:rsidR="004657F4" w:rsidRPr="00A84477" w:rsidRDefault="004657F4" w:rsidP="004657F4">
      <w:pPr>
        <w:pStyle w:val="Odsekzoznamu"/>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Poskytovateľ zaplatí objednávateľovi zmluvnú pokutu vo výške 1.000,- eur, ak porušil alebo riadne a úplne nevykonal povinnosť uvedenú v bode 9.10. a 9.11. tohto článku.</w:t>
      </w:r>
    </w:p>
    <w:p w:rsidR="004657F4" w:rsidRPr="00A84477" w:rsidRDefault="004657F4" w:rsidP="004657F4">
      <w:pPr>
        <w:pStyle w:val="Odsekzoznamu"/>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Porušenie povinnosti zhotoviteľa podľa bodu 9.10. a 9.11. sa považuje za podstatné porušenie rámcovej dohody a oprávňuje objednávateľa na odstúpenie od rámcovej dohody.</w:t>
      </w:r>
    </w:p>
    <w:p w:rsidR="004657F4" w:rsidRPr="00A84477" w:rsidRDefault="004657F4" w:rsidP="004657F4">
      <w:pPr>
        <w:pStyle w:val="Aaa"/>
        <w:numPr>
          <w:ilvl w:val="0"/>
          <w:numId w:val="0"/>
        </w:numPr>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Poskytovateľ musí byť zapísaný do registra partnerov verejného sektora počas celej doby trvania rámcovej dohody. Porušenie tejto povinnosti sa považuje za podstatné porušenie rámcovej dohody a je dôvodom, ktorý oprávňuje objednávateľa na odstúpenie od rámcovej dohody. Pokiaľ nebude počas trvania rámcovej dohody poskytovateľ zapísaný do registra partnerov verejného sektora, nie je objednávateľ v omeškaní s úhradou faktúry, vystavenej na základe príslušnej objednávky.</w:t>
      </w:r>
    </w:p>
    <w:p w:rsidR="004657F4" w:rsidRPr="00A84477" w:rsidRDefault="004657F4" w:rsidP="004657F4">
      <w:pPr>
        <w:pStyle w:val="Aaa"/>
        <w:numPr>
          <w:ilvl w:val="0"/>
          <w:numId w:val="0"/>
        </w:numPr>
        <w:ind w:left="851" w:hanging="494"/>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 xml:space="preserve">Poskytovateľ zodpovedá za správnosť a úplnosť údajov zapísaných v registri partnerov verejného sektora, identifikáciu konečného užívateľa výhod a overovanie identifikácie konečného užívateľa výhod v zmysle § 11 zákona č. 315/2016 </w:t>
      </w:r>
      <w:proofErr w:type="spellStart"/>
      <w:r w:rsidRPr="00A84477">
        <w:rPr>
          <w:rFonts w:ascii="Arial Narrow" w:hAnsi="Arial Narrow"/>
        </w:rPr>
        <w:t>Z.z</w:t>
      </w:r>
      <w:proofErr w:type="spellEnd"/>
      <w:r w:rsidRPr="00A84477">
        <w:rPr>
          <w:rFonts w:ascii="Arial Narrow" w:hAnsi="Arial Narrow"/>
        </w:rPr>
        <w:t xml:space="preserve">. o registri partnerov verejného sektora a o zmene a doplnení niektorých zákonov. Objednávateľ má právo odstúpiť od tejto rámcovej dohody z dôvodov, uvedených v § 15 ods. 1 zákona č. 315/2016 </w:t>
      </w:r>
      <w:proofErr w:type="spellStart"/>
      <w:r w:rsidRPr="00A84477">
        <w:rPr>
          <w:rFonts w:ascii="Arial Narrow" w:hAnsi="Arial Narrow"/>
        </w:rPr>
        <w:t>Z.z</w:t>
      </w:r>
      <w:proofErr w:type="spellEnd"/>
      <w:r w:rsidRPr="00A84477">
        <w:rPr>
          <w:rFonts w:ascii="Arial Narrow" w:hAnsi="Arial Narrow"/>
        </w:rPr>
        <w:t xml:space="preserve">. Objednávateľ nie v omeškaní a nie je povinný plniť čo mu ukladá rámcová dohoda, ak nastanú dôvody podľa  § 15 ods. 2 zákona č. 315/2016 </w:t>
      </w:r>
      <w:proofErr w:type="spellStart"/>
      <w:r w:rsidRPr="00A84477">
        <w:rPr>
          <w:rFonts w:ascii="Arial Narrow" w:hAnsi="Arial Narrow"/>
        </w:rPr>
        <w:t>Z.z</w:t>
      </w:r>
      <w:proofErr w:type="spellEnd"/>
      <w:r w:rsidRPr="00A84477">
        <w:rPr>
          <w:rFonts w:ascii="Arial Narrow" w:hAnsi="Arial Narrow"/>
        </w:rPr>
        <w:t>.</w:t>
      </w:r>
    </w:p>
    <w:p w:rsidR="004657F4" w:rsidRPr="00A84477" w:rsidRDefault="004657F4" w:rsidP="004657F4">
      <w:pPr>
        <w:pStyle w:val="Aaa"/>
        <w:numPr>
          <w:ilvl w:val="0"/>
          <w:numId w:val="0"/>
        </w:numPr>
        <w:ind w:left="851" w:hanging="494"/>
        <w:rPr>
          <w:rFonts w:ascii="Arial Narrow" w:hAnsi="Arial Narrow"/>
        </w:rPr>
      </w:pPr>
    </w:p>
    <w:p w:rsidR="004657F4" w:rsidRPr="00A84477" w:rsidRDefault="004657F4" w:rsidP="004657F4">
      <w:pPr>
        <w:pStyle w:val="Aaa"/>
        <w:numPr>
          <w:ilvl w:val="1"/>
          <w:numId w:val="11"/>
        </w:numPr>
        <w:ind w:left="851" w:hanging="494"/>
        <w:rPr>
          <w:rFonts w:ascii="Arial Narrow" w:hAnsi="Arial Narrow"/>
        </w:rPr>
      </w:pPr>
      <w:r w:rsidRPr="00A84477">
        <w:rPr>
          <w:rFonts w:ascii="Arial Narrow" w:hAnsi="Arial Narrow"/>
        </w:rPr>
        <w:t xml:space="preserve">Objednávateľ má právo uplatniť si u poskytovateľa zmluvnú pokutu vo výške 1000,- eur za každý deň existencie dôvodu vzniku práva na odstúpenie od rámcovej dohody v zmysle § 15 ods. 1 zákona č. 315/2016 </w:t>
      </w:r>
      <w:proofErr w:type="spellStart"/>
      <w:r w:rsidRPr="00A84477">
        <w:rPr>
          <w:rFonts w:ascii="Arial Narrow" w:hAnsi="Arial Narrow"/>
        </w:rPr>
        <w:t>Z.z</w:t>
      </w:r>
      <w:proofErr w:type="spellEnd"/>
      <w:r w:rsidRPr="00A84477">
        <w:rPr>
          <w:rFonts w:ascii="Arial Narrow" w:hAnsi="Arial Narrow"/>
        </w:rPr>
        <w:t xml:space="preserve">. Právo na zmluvnú pokutu zaniká, ak objednávateľ odstúpi od rámcovej dohody v súlade s § 15 ods. 1 zákona č. 315/2016 </w:t>
      </w:r>
      <w:proofErr w:type="spellStart"/>
      <w:r w:rsidRPr="00A84477">
        <w:rPr>
          <w:rFonts w:ascii="Arial Narrow" w:hAnsi="Arial Narrow"/>
        </w:rPr>
        <w:t>Z.z</w:t>
      </w:r>
      <w:proofErr w:type="spellEnd"/>
      <w:r w:rsidRPr="00A84477">
        <w:rPr>
          <w:rFonts w:ascii="Arial Narrow" w:hAnsi="Arial Narrow"/>
        </w:rPr>
        <w:t>.</w:t>
      </w:r>
    </w:p>
    <w:p w:rsidR="004657F4" w:rsidRPr="00A84477" w:rsidRDefault="004657F4" w:rsidP="004657F4">
      <w:pPr>
        <w:rPr>
          <w:rFonts w:ascii="Arial Narrow" w:hAnsi="Arial Narrow" w:cs="Calibri"/>
        </w:rPr>
      </w:pPr>
    </w:p>
    <w:p w:rsidR="004657F4" w:rsidRPr="00A84477" w:rsidRDefault="004657F4" w:rsidP="004657F4">
      <w:pPr>
        <w:rPr>
          <w:rFonts w:ascii="Arial Narrow" w:hAnsi="Arial Narrow" w:cs="Calibri"/>
          <w:b/>
          <w:bCs/>
        </w:rPr>
      </w:pPr>
    </w:p>
    <w:p w:rsidR="004657F4" w:rsidRPr="00A84477" w:rsidRDefault="004657F4" w:rsidP="004657F4">
      <w:pPr>
        <w:numPr>
          <w:ilvl w:val="0"/>
          <w:numId w:val="11"/>
        </w:numPr>
        <w:tabs>
          <w:tab w:val="clear" w:pos="2160"/>
          <w:tab w:val="clear" w:pos="2880"/>
          <w:tab w:val="clear" w:pos="4500"/>
        </w:tabs>
        <w:ind w:left="426" w:hanging="426"/>
        <w:jc w:val="center"/>
        <w:rPr>
          <w:rFonts w:ascii="Arial Narrow" w:hAnsi="Arial Narrow" w:cs="Calibri"/>
          <w:b/>
          <w:bCs/>
        </w:rPr>
      </w:pPr>
      <w:r w:rsidRPr="00A84477">
        <w:rPr>
          <w:rFonts w:ascii="Arial Narrow" w:hAnsi="Arial Narrow" w:cs="Calibri"/>
          <w:b/>
          <w:bCs/>
        </w:rPr>
        <w:t>ZÁVEREČNÉ USTANOVENIA</w:t>
      </w:r>
    </w:p>
    <w:p w:rsidR="004657F4" w:rsidRPr="00A84477" w:rsidRDefault="004657F4" w:rsidP="004657F4">
      <w:pPr>
        <w:ind w:left="788" w:hanging="431"/>
        <w:jc w:val="both"/>
        <w:rPr>
          <w:rFonts w:ascii="Arial Narrow" w:hAnsi="Arial Narrow" w:cs="Calibri"/>
        </w:rPr>
      </w:pPr>
    </w:p>
    <w:p w:rsidR="004657F4" w:rsidRPr="00A84477" w:rsidRDefault="004657F4" w:rsidP="004657F4">
      <w:pPr>
        <w:pStyle w:val="Aaa"/>
        <w:numPr>
          <w:ilvl w:val="1"/>
          <w:numId w:val="11"/>
        </w:numPr>
        <w:ind w:left="788" w:hanging="504"/>
        <w:rPr>
          <w:rFonts w:ascii="Arial Narrow" w:hAnsi="Arial Narrow"/>
        </w:rPr>
      </w:pPr>
      <w:r w:rsidRPr="00A84477">
        <w:rPr>
          <w:rFonts w:ascii="Arial Narrow" w:hAnsi="Arial Narrow"/>
        </w:rPr>
        <w:t>Táto rámcová dohoda sa uzatvára na dobu určitú, a to na dobu 12 mesiacov odo dňa jej účinnosti alebo do dňa vyčerpania jej finančného limitu uvedeného v článku 3 bod 3.2., podľa toho, ktorá skutočnosť nastane skôr.</w:t>
      </w:r>
    </w:p>
    <w:p w:rsidR="004657F4" w:rsidRPr="00A84477" w:rsidRDefault="004657F4" w:rsidP="004657F4">
      <w:pPr>
        <w:pStyle w:val="Aaa"/>
        <w:numPr>
          <w:ilvl w:val="0"/>
          <w:numId w:val="0"/>
        </w:numPr>
        <w:ind w:left="788" w:hanging="504"/>
        <w:rPr>
          <w:rFonts w:ascii="Arial Narrow" w:hAnsi="Arial Narrow"/>
        </w:rPr>
      </w:pPr>
    </w:p>
    <w:p w:rsidR="004657F4" w:rsidRPr="00A84477" w:rsidRDefault="004657F4" w:rsidP="004657F4">
      <w:pPr>
        <w:pStyle w:val="Aaa"/>
        <w:numPr>
          <w:ilvl w:val="1"/>
          <w:numId w:val="11"/>
        </w:numPr>
        <w:ind w:left="788" w:hanging="504"/>
        <w:rPr>
          <w:rFonts w:ascii="Arial Narrow" w:hAnsi="Arial Narrow"/>
        </w:rPr>
      </w:pPr>
      <w:r w:rsidRPr="00A84477">
        <w:rPr>
          <w:rFonts w:ascii="Arial Narrow" w:hAnsi="Arial Narrow"/>
        </w:rPr>
        <w:t>Podmienky tejto rámcovej dohody, ktoré vzhľadom na svoju povahu presahujú dobu jej platnosti, zostávajú v platnosti v celom rozsahu a sú účinné až do okamihu ich splnenia a platia aj pre prípadných nástupcov a postupníkov zmluvných strán.</w:t>
      </w:r>
    </w:p>
    <w:p w:rsidR="004657F4" w:rsidRPr="00A84477" w:rsidRDefault="004657F4" w:rsidP="004657F4">
      <w:pPr>
        <w:pStyle w:val="Aaa"/>
        <w:numPr>
          <w:ilvl w:val="0"/>
          <w:numId w:val="0"/>
        </w:numPr>
        <w:ind w:left="788" w:hanging="504"/>
        <w:rPr>
          <w:rFonts w:ascii="Arial Narrow" w:hAnsi="Arial Narrow"/>
        </w:rPr>
      </w:pPr>
    </w:p>
    <w:p w:rsidR="004657F4" w:rsidRPr="00A84477" w:rsidRDefault="004657F4" w:rsidP="004657F4">
      <w:pPr>
        <w:pStyle w:val="Aaa"/>
        <w:numPr>
          <w:ilvl w:val="1"/>
          <w:numId w:val="11"/>
        </w:numPr>
        <w:ind w:left="788" w:hanging="504"/>
        <w:rPr>
          <w:rFonts w:ascii="Arial Narrow" w:hAnsi="Arial Narrow"/>
        </w:rPr>
      </w:pPr>
      <w:r w:rsidRPr="00A84477">
        <w:rPr>
          <w:rFonts w:ascii="Arial Narrow" w:hAnsi="Arial Narrow"/>
        </w:rPr>
        <w:t>Platnosť tejto rámcovej dohody možno ukončiť kedykoľvek písomnou dohodou zmluvných strán alebo výpoveďou ktorejkoľvek zo zmluvných strán alebo odstúpením od rámcovej dohody ktoroukoľvek zo zmluvných strán.</w:t>
      </w:r>
    </w:p>
    <w:p w:rsidR="004657F4" w:rsidRPr="00A84477" w:rsidRDefault="004657F4" w:rsidP="004657F4">
      <w:pPr>
        <w:pStyle w:val="Aaa"/>
        <w:numPr>
          <w:ilvl w:val="0"/>
          <w:numId w:val="0"/>
        </w:numPr>
        <w:ind w:left="788" w:hanging="504"/>
        <w:rPr>
          <w:rFonts w:ascii="Arial Narrow" w:hAnsi="Arial Narrow"/>
        </w:rPr>
      </w:pPr>
    </w:p>
    <w:p w:rsidR="004657F4" w:rsidRPr="00A84477" w:rsidRDefault="004657F4" w:rsidP="004657F4">
      <w:pPr>
        <w:pStyle w:val="Aaa"/>
        <w:numPr>
          <w:ilvl w:val="1"/>
          <w:numId w:val="11"/>
        </w:numPr>
        <w:ind w:left="788" w:hanging="504"/>
        <w:rPr>
          <w:rFonts w:ascii="Arial Narrow" w:hAnsi="Arial Narrow"/>
        </w:rPr>
      </w:pPr>
      <w:r w:rsidRPr="00A84477">
        <w:rPr>
          <w:rFonts w:ascii="Arial Narrow" w:hAnsi="Arial Narrow"/>
        </w:rPr>
        <w:t>Výpoveď tejto rámcovej dohody môže dať ktorákoľvek zo zmluvných strán aj bez udania dôvodu, zaslaním písomnej výpovede druhej zmluvnej strane na adresu jej sídla uvedenom v záhlaví tejto rámcovej dohody. Výpovedná lehota je 3 mesiace a začína plynúť prvého dňa mesiaca nasledujúceho po mesiaci, v ktorom bola výpoveď doručená.</w:t>
      </w:r>
    </w:p>
    <w:p w:rsidR="004657F4" w:rsidRPr="00A84477" w:rsidRDefault="004657F4" w:rsidP="004657F4">
      <w:pPr>
        <w:pStyle w:val="Aaa"/>
        <w:numPr>
          <w:ilvl w:val="0"/>
          <w:numId w:val="0"/>
        </w:numPr>
        <w:ind w:left="788" w:hanging="504"/>
        <w:rPr>
          <w:rFonts w:ascii="Arial Narrow" w:hAnsi="Arial Narrow"/>
        </w:rPr>
      </w:pPr>
    </w:p>
    <w:p w:rsidR="004657F4" w:rsidRPr="002E7B57" w:rsidRDefault="004657F4" w:rsidP="004657F4">
      <w:pPr>
        <w:pStyle w:val="Aaa"/>
        <w:numPr>
          <w:ilvl w:val="1"/>
          <w:numId w:val="11"/>
        </w:numPr>
        <w:ind w:left="788" w:hanging="504"/>
        <w:rPr>
          <w:rFonts w:ascii="Arial Narrow" w:hAnsi="Arial Narrow"/>
        </w:rPr>
      </w:pPr>
      <w:r w:rsidRPr="00A84477">
        <w:rPr>
          <w:rFonts w:ascii="Arial Narrow" w:hAnsi="Arial Narrow"/>
        </w:rPr>
        <w:t xml:space="preserve">V prípade, ak došlo k zániku platnosti tejto rámcovej dohody podľa bodov 10.3. a 10.4. tohto článku </w:t>
      </w:r>
      <w:r w:rsidRPr="002E7B57">
        <w:rPr>
          <w:rFonts w:ascii="Arial Narrow" w:hAnsi="Arial Narrow"/>
        </w:rPr>
        <w:t>rámcovej dohody alebo k vysloveniu jej neplatnosti súdom, po tom, čo zo strany poskytovateľa bolo plnenie poskytnuté objednávateľovi a toto plnenie bolo riadne prevzaté objednávateľom, obe zmluvné strany si ponechajú všetky plnenia poskytnuté od druhej zmluvnej strany na základe tejto rámcovej dohody do okamihu zániku platnosti rámcovej dohody, s výnimkou povinnosti poskytovateľa podľa bodu 1</w:t>
      </w:r>
      <w:r>
        <w:rPr>
          <w:rFonts w:ascii="Arial Narrow" w:hAnsi="Arial Narrow"/>
        </w:rPr>
        <w:t>0</w:t>
      </w:r>
      <w:r w:rsidRPr="002E7B57">
        <w:rPr>
          <w:rFonts w:ascii="Arial Narrow" w:hAnsi="Arial Narrow"/>
        </w:rPr>
        <w:t xml:space="preserve">.10 dohody. </w:t>
      </w:r>
    </w:p>
    <w:p w:rsidR="004657F4" w:rsidRPr="002E7B57" w:rsidRDefault="004657F4" w:rsidP="004657F4">
      <w:pPr>
        <w:pStyle w:val="Odsekzoznamu"/>
        <w:ind w:left="788" w:hanging="504"/>
        <w:rPr>
          <w:rFonts w:ascii="Arial Narrow" w:hAnsi="Arial Narrow"/>
        </w:rPr>
      </w:pPr>
    </w:p>
    <w:p w:rsidR="004657F4" w:rsidRPr="002E7B57" w:rsidRDefault="004657F4" w:rsidP="004657F4">
      <w:pPr>
        <w:pStyle w:val="Aaa"/>
        <w:numPr>
          <w:ilvl w:val="1"/>
          <w:numId w:val="11"/>
        </w:numPr>
        <w:ind w:left="788" w:hanging="504"/>
        <w:rPr>
          <w:rFonts w:ascii="Arial Narrow" w:hAnsi="Arial Narrow"/>
        </w:rPr>
      </w:pPr>
      <w:r w:rsidRPr="002E7B57">
        <w:rPr>
          <w:rFonts w:ascii="Arial Narrow" w:hAnsi="Arial Narrow"/>
        </w:rPr>
        <w:t xml:space="preserve">Zmluvné strany sa dohodli, že v prípade podstatného porušenia zmluvných povinností jednou zmluvnou stranou, druhá zmluvná strana má právo okamžite odstúpiť od tejto dohody/objednávky. Odstúpenie od rámcovej dohody </w:t>
      </w:r>
      <w:r w:rsidRPr="002E7B57">
        <w:rPr>
          <w:rFonts w:ascii="Arial Narrow" w:hAnsi="Arial Narrow"/>
        </w:rPr>
        <w:lastRenderedPageBreak/>
        <w:t>bude účinné a rámcová dohoda sa bude považovať za zrušenú ku dňu doručenia písomného oznámenia o odstúpení druhej zmluvnej strane na adresu uvedenú v záhlaví tejto rámcovej dohody. Odstúpenie od rámcovej dohody a jeho účinky sa riadia príslušnými ustanoveniami Obchodného zákonníka, s výnimkou § 351 ods. 2 Obchodného zákonníka.</w:t>
      </w:r>
    </w:p>
    <w:p w:rsidR="004657F4" w:rsidRPr="002E7B57" w:rsidRDefault="004657F4" w:rsidP="004657F4">
      <w:pPr>
        <w:pStyle w:val="Odsekzoznamu"/>
        <w:ind w:left="788" w:hanging="431"/>
        <w:jc w:val="both"/>
        <w:rPr>
          <w:rFonts w:ascii="Arial Narrow" w:hAnsi="Arial Narrow"/>
        </w:rPr>
      </w:pPr>
    </w:p>
    <w:p w:rsidR="004657F4" w:rsidRPr="002E7B57" w:rsidRDefault="004657F4" w:rsidP="004657F4">
      <w:pPr>
        <w:pStyle w:val="Aaa"/>
        <w:numPr>
          <w:ilvl w:val="1"/>
          <w:numId w:val="11"/>
        </w:numPr>
        <w:tabs>
          <w:tab w:val="left" w:pos="851"/>
        </w:tabs>
        <w:ind w:left="788" w:hanging="431"/>
        <w:rPr>
          <w:rFonts w:ascii="Arial Narrow" w:hAnsi="Arial Narrow"/>
        </w:rPr>
      </w:pPr>
      <w:r w:rsidRPr="002E7B57">
        <w:rPr>
          <w:rFonts w:ascii="Arial Narrow" w:hAnsi="Arial Narrow"/>
        </w:rPr>
        <w:t xml:space="preserve">Za podstatné porušenie dohody/objednávky sa považujú jednotlivo nasledovné porušenia: </w:t>
      </w:r>
    </w:p>
    <w:p w:rsidR="004657F4" w:rsidRPr="002E7B57" w:rsidRDefault="004657F4" w:rsidP="004657F4">
      <w:pPr>
        <w:pStyle w:val="Aaa"/>
        <w:numPr>
          <w:ilvl w:val="0"/>
          <w:numId w:val="0"/>
        </w:numPr>
        <w:tabs>
          <w:tab w:val="left" w:pos="1134"/>
        </w:tabs>
        <w:spacing w:after="60"/>
        <w:ind w:left="1134" w:hanging="283"/>
        <w:rPr>
          <w:rFonts w:ascii="Arial Narrow" w:hAnsi="Arial Narrow"/>
        </w:rPr>
      </w:pPr>
      <w:r w:rsidRPr="002E7B57">
        <w:rPr>
          <w:rFonts w:ascii="Arial Narrow" w:hAnsi="Arial Narrow"/>
        </w:rPr>
        <w:t>a)</w:t>
      </w:r>
      <w:r w:rsidRPr="002E7B57">
        <w:rPr>
          <w:rFonts w:ascii="Arial Narrow" w:hAnsi="Arial Narrow"/>
        </w:rPr>
        <w:tab/>
        <w:t xml:space="preserve">ak poskytovateľ bude v omeškaní s akýmkoľvek plnením predmetu tejto dohody alebo akýmkoľvek plnením objednávky o viac ako 30 kalendárnych dní, </w:t>
      </w:r>
    </w:p>
    <w:p w:rsidR="004657F4" w:rsidRPr="002E7B57" w:rsidRDefault="004657F4" w:rsidP="004657F4">
      <w:pPr>
        <w:pStyle w:val="Aaa"/>
        <w:numPr>
          <w:ilvl w:val="0"/>
          <w:numId w:val="0"/>
        </w:numPr>
        <w:tabs>
          <w:tab w:val="left" w:pos="1134"/>
        </w:tabs>
        <w:spacing w:after="60"/>
        <w:ind w:left="1134" w:hanging="283"/>
        <w:rPr>
          <w:rFonts w:ascii="Arial Narrow" w:hAnsi="Arial Narrow"/>
        </w:rPr>
      </w:pPr>
      <w:r w:rsidRPr="002E7B57">
        <w:rPr>
          <w:rFonts w:ascii="Arial Narrow" w:hAnsi="Arial Narrow"/>
        </w:rPr>
        <w:t>b)</w:t>
      </w:r>
      <w:r w:rsidRPr="002E7B57">
        <w:rPr>
          <w:rFonts w:ascii="Arial Narrow" w:hAnsi="Arial Narrow"/>
        </w:rPr>
        <w:tab/>
        <w:t xml:space="preserve">ak objednávateľ bude v omeškaní s plnením svojej povinnosti uhradiť cenu plnenia a/alebo jej časť, alebo akékoľvek peňažné plnenia a/alebo jeho časť, na ktoré má poskytovateľ nárok v súlade s touto dohodou, objednávkou a ich prílohami, a túto povinnosť nesplní ani v dodatočnej lehote 30 kalendárnych dní, </w:t>
      </w:r>
    </w:p>
    <w:p w:rsidR="004657F4" w:rsidRPr="002E7B57" w:rsidRDefault="004657F4" w:rsidP="004657F4">
      <w:pPr>
        <w:pStyle w:val="Aaa"/>
        <w:numPr>
          <w:ilvl w:val="0"/>
          <w:numId w:val="0"/>
        </w:numPr>
        <w:tabs>
          <w:tab w:val="left" w:pos="1134"/>
        </w:tabs>
        <w:spacing w:after="60"/>
        <w:ind w:left="1134" w:hanging="283"/>
        <w:rPr>
          <w:rFonts w:ascii="Arial Narrow" w:hAnsi="Arial Narrow"/>
        </w:rPr>
      </w:pPr>
      <w:r w:rsidRPr="002E7B57">
        <w:rPr>
          <w:rFonts w:ascii="Arial Narrow" w:hAnsi="Arial Narrow"/>
        </w:rPr>
        <w:t>c)</w:t>
      </w:r>
      <w:r w:rsidRPr="002E7B57">
        <w:rPr>
          <w:rFonts w:ascii="Arial Narrow" w:hAnsi="Arial Narrow"/>
        </w:rPr>
        <w:tab/>
        <w:t xml:space="preserve">ak poskytovateľ neodstráni vady zistené pri preberaní predmetu plnenia alebo vady zistené počas záručnej doby v lehote určenej podľa príslušných ustanovení tejto dohody, </w:t>
      </w:r>
    </w:p>
    <w:p w:rsidR="004657F4" w:rsidRPr="002E7B57" w:rsidRDefault="004657F4" w:rsidP="004657F4">
      <w:pPr>
        <w:pStyle w:val="Aaa"/>
        <w:numPr>
          <w:ilvl w:val="0"/>
          <w:numId w:val="0"/>
        </w:numPr>
        <w:tabs>
          <w:tab w:val="left" w:pos="1134"/>
        </w:tabs>
        <w:ind w:left="1134" w:hanging="283"/>
        <w:rPr>
          <w:rFonts w:ascii="Arial Narrow" w:hAnsi="Arial Narrow"/>
        </w:rPr>
      </w:pPr>
      <w:r w:rsidRPr="002E7B57">
        <w:rPr>
          <w:rFonts w:ascii="Arial Narrow" w:hAnsi="Arial Narrow"/>
        </w:rPr>
        <w:t xml:space="preserve">d) </w:t>
      </w:r>
      <w:r w:rsidRPr="002E7B57">
        <w:rPr>
          <w:rFonts w:ascii="Arial Narrow" w:hAnsi="Arial Narrow"/>
        </w:rPr>
        <w:tab/>
        <w:t>podstatné porušenia zmluvných povinností definované v iných ustanoveniach tejto dohody.</w:t>
      </w:r>
    </w:p>
    <w:p w:rsidR="004657F4" w:rsidRPr="002E7B57" w:rsidRDefault="004657F4" w:rsidP="004657F4">
      <w:pPr>
        <w:pStyle w:val="Odsekzoznamu"/>
        <w:ind w:left="788" w:hanging="431"/>
        <w:jc w:val="both"/>
        <w:rPr>
          <w:rFonts w:ascii="Arial Narrow" w:hAnsi="Arial Narrow"/>
        </w:rPr>
      </w:pPr>
    </w:p>
    <w:p w:rsidR="004657F4" w:rsidRPr="002E7B57" w:rsidRDefault="004657F4" w:rsidP="004657F4">
      <w:pPr>
        <w:pStyle w:val="Aaa"/>
        <w:numPr>
          <w:ilvl w:val="1"/>
          <w:numId w:val="11"/>
        </w:numPr>
        <w:tabs>
          <w:tab w:val="left" w:pos="851"/>
        </w:tabs>
        <w:ind w:left="851" w:hanging="494"/>
        <w:rPr>
          <w:rFonts w:ascii="Arial Narrow" w:hAnsi="Arial Narrow"/>
        </w:rPr>
      </w:pPr>
      <w:r w:rsidRPr="002E7B57">
        <w:rPr>
          <w:rFonts w:ascii="Arial Narrow" w:hAnsi="Arial Narrow"/>
        </w:rPr>
        <w:t xml:space="preserve">Odstúpením od </w:t>
      </w:r>
      <w:r>
        <w:rPr>
          <w:rFonts w:ascii="Arial Narrow" w:hAnsi="Arial Narrow"/>
        </w:rPr>
        <w:t xml:space="preserve">rámcovej </w:t>
      </w:r>
      <w:r w:rsidRPr="002E7B57">
        <w:rPr>
          <w:rFonts w:ascii="Arial Narrow" w:hAnsi="Arial Narrow"/>
        </w:rPr>
        <w:t>dohody a/alebo objednávky zanikajú všetky práva a povinnosti zmluvných strán z rámcovej dohody a/alebo objednávky, okrem nárokov na náhradu spôsobenej škody, nárokov na zmluvné sankcie a nárokov objednávateľa na bezplatné odstránenie zistených vád/chýb už poskytnutého plnenia alebo iných ustanovení, ktoré sú nevyhnutné pre riadne užívanie poskytovaného plnenia.</w:t>
      </w:r>
    </w:p>
    <w:p w:rsidR="004657F4" w:rsidRPr="002E7B57" w:rsidRDefault="004657F4" w:rsidP="004657F4">
      <w:pPr>
        <w:pStyle w:val="Aaa"/>
        <w:numPr>
          <w:ilvl w:val="0"/>
          <w:numId w:val="0"/>
        </w:numPr>
        <w:tabs>
          <w:tab w:val="left" w:pos="851"/>
        </w:tabs>
        <w:ind w:left="851"/>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Ak bude na majetok poskytovateľa vyhlásený konkurz, alebo povolená reštrukturalizácia, alebo vstúpi do likvidácie, alebo nebude schopný z iných dôvodov plniť svoje záväzky dlhšie ako 30 dní, môže Objednávateľ ihneď odstúpiť od tejto rámcovej dohody. Odstúpenie od rámcovej dohody bude účinné a rámcová dohoda sa bude považovať za zrušenú ku dňu doručenia písomného oznámenia o odstúpení Poskytovateľovi na adresu uvedenú v záhlaví tejto rámcovej dohody. Odstúpenie od rámcovej dohody a jeho účinky sa riadia príslušnými ustanoveniami Obchodného zákonníka, s výnimkou § 351 ods. 2 Obchodného zákonníka.</w:t>
      </w:r>
    </w:p>
    <w:p w:rsidR="004657F4" w:rsidRPr="002E7B57" w:rsidRDefault="004657F4" w:rsidP="004657F4">
      <w:pPr>
        <w:pStyle w:val="Aaa"/>
        <w:numPr>
          <w:ilvl w:val="0"/>
          <w:numId w:val="0"/>
        </w:numPr>
        <w:tabs>
          <w:tab w:val="left" w:pos="851"/>
          <w:tab w:val="left" w:pos="993"/>
        </w:tabs>
        <w:ind w:left="993"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 xml:space="preserve">V prípade predčasného ukončenia tejto </w:t>
      </w:r>
      <w:r>
        <w:rPr>
          <w:rFonts w:ascii="Arial Narrow" w:hAnsi="Arial Narrow"/>
        </w:rPr>
        <w:t xml:space="preserve">rámcovej </w:t>
      </w:r>
      <w:r w:rsidRPr="002E7B57">
        <w:rPr>
          <w:rFonts w:ascii="Arial Narrow" w:hAnsi="Arial Narrow"/>
        </w:rPr>
        <w:t xml:space="preserve">dohody a/alebo objednávky je poskytovateľ povinný vrátiť objednávateľovi alikvotnú časť objednávateľom uhradenej sumy (ceny) za predplatené služby, a to v lehote do 30 kalendárnych dní od doručenia výzvy poskytovateľovi, ktorú je objednávateľ oprávnený vyhotoviť po ukončení tejto </w:t>
      </w:r>
      <w:r>
        <w:rPr>
          <w:rFonts w:ascii="Arial Narrow" w:hAnsi="Arial Narrow"/>
        </w:rPr>
        <w:t xml:space="preserve">rámcovej </w:t>
      </w:r>
      <w:r w:rsidRPr="002E7B57">
        <w:rPr>
          <w:rFonts w:ascii="Arial Narrow" w:hAnsi="Arial Narrow"/>
        </w:rPr>
        <w:t>dohody.</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Akékoľvek zmeny a/alebo doplnenia tejto rámcovej dohody sa môžu vykonať iba na základe dohody obidvoch zmluvných strán, a to vo forme písomných a očíslovaných dodatkov k tejto rámcovej dohode podpísaných oprávnenými zástupcami oboch zmluvných strán.</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Vzťahy zmluvných strán, ktoré vznikli na základe tejto rámcovej dohody, a ktoré v nej nie sú výslovne upravené sa riadia príslušnými ustanoveniami Obchodného zákonníka a ostatnými všeobecne záväznými právnymi predpismi platnými v SR.</w:t>
      </w:r>
    </w:p>
    <w:p w:rsidR="004657F4" w:rsidRPr="002E7B57" w:rsidRDefault="004657F4" w:rsidP="004657F4">
      <w:pPr>
        <w:pStyle w:val="Aaa"/>
        <w:numPr>
          <w:ilvl w:val="0"/>
          <w:numId w:val="0"/>
        </w:numPr>
        <w:tabs>
          <w:tab w:val="left" w:pos="851"/>
          <w:tab w:val="left" w:pos="993"/>
        </w:tabs>
        <w:ind w:left="993"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 xml:space="preserve">Zmluvné strany sa dohodli, že písomná korešpondencia bude doručovaná na adresy uvedené v záhlaví tejto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w:t>
      </w:r>
      <w:r>
        <w:rPr>
          <w:rFonts w:ascii="Arial Narrow" w:hAnsi="Arial Narrow"/>
        </w:rPr>
        <w:t xml:space="preserve">rámcovej </w:t>
      </w:r>
      <w:r w:rsidRPr="002E7B57">
        <w:rPr>
          <w:rFonts w:ascii="Arial Narrow" w:hAnsi="Arial Narrow"/>
        </w:rPr>
        <w:t>dohody, resp. na inú adresu písomne oznámenú druhej zmluvnej strane. Akákoľvek písomná korešpondencia podľa tejto dohody bude považovaná za riadne doručenú aj vtedy, ak ju adresát odmietne prevziať. Akákoľvek písomnosť, ktorá sa vyžaduje alebo je povolená podľa tejto dohody bude vyhotovená v slovenskom jazyku.</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Ak sa niektoré z ustanovení tejto rámcovej dohody stane neplatným alebo nevykonateľným, zostáva platnosť ostatných ustanovení rámcovej dohody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rámcovej dohody.</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 xml:space="preserve">Spory a/alebo nezrovnalosti medzi zmluvnými stranami, ktoré vzniknú na základe tejto rámcovej dohody alebo v akejkoľvek súvislosti s touto rámcovou dohodou sa budú riešiť v prvom rade mimosúdnou cestou, a to </w:t>
      </w:r>
      <w:r w:rsidRPr="002E7B57">
        <w:rPr>
          <w:rFonts w:ascii="Arial Narrow" w:hAnsi="Arial Narrow"/>
        </w:rPr>
        <w:lastRenderedPageBreak/>
        <w:t>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rámcovej dohody alebo v akejkoľvek súvislosti s touto rámcovou dohodou na rozhodnutie vecne a miestne príslušnému všeobecnému súdu Slovenskej republiky.</w:t>
      </w:r>
    </w:p>
    <w:p w:rsidR="004657F4" w:rsidRPr="002E7B57" w:rsidRDefault="004657F4" w:rsidP="004657F4">
      <w:pPr>
        <w:pStyle w:val="Aaa"/>
        <w:numPr>
          <w:ilvl w:val="0"/>
          <w:numId w:val="0"/>
        </w:numPr>
        <w:tabs>
          <w:tab w:val="left" w:pos="851"/>
          <w:tab w:val="left" w:pos="993"/>
        </w:tabs>
        <w:ind w:left="993"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Táto rámcová dohoda je vyhotovená v troch rovnopisoch v slovenskom jazyku, z ktorých objednávateľ dostane dva rovnopisy a poskytovateľ jeden rovnopis.</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Rámcová dohoda nadobúda platnosť dňom jej podpisu oprávnenými zástupcami obidvoch zmluvných strán a účinnosť dňom nasledujúcim po dni jej zverejnenia v centrálnom registri zmlúv, vedenom Úradom vlády SR.</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 xml:space="preserve">Zmluvné strany sú povinné vzájomne si poskytnúť pri plnení tejto rámcovej dohody primeranú súčinnosť. </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Zmluvné strany sa zaväzujú riadne a včas si oznámiť zmeny všetkých údajov relevantných pre tento zmluvný vzťah.</w:t>
      </w:r>
    </w:p>
    <w:p w:rsidR="004657F4" w:rsidRPr="002E7B57" w:rsidRDefault="004657F4" w:rsidP="004657F4">
      <w:pPr>
        <w:pStyle w:val="Aaa"/>
        <w:numPr>
          <w:ilvl w:val="0"/>
          <w:numId w:val="0"/>
        </w:numPr>
        <w:tabs>
          <w:tab w:val="left" w:pos="851"/>
          <w:tab w:val="left" w:pos="993"/>
        </w:tabs>
        <w:ind w:left="993"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 xml:space="preserve">Táto rámcová dohoda (vrátane jej prípadných dodatkov) patrí medzi povinne zverejňované rámcové dohody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rámcovej dohody (vrátane jej prípadných dodatkov) a údajoch o faktúrach poskytovateľa doručených objednávateľovi, pričom poskytovateľ tiež disponuje písomným súhlasom inej dotknutej osoby (osoby konajúcej za poskytovateľa) na zverejnenie jej údajov uvedených v tejto </w:t>
      </w:r>
      <w:r>
        <w:rPr>
          <w:rFonts w:ascii="Arial Narrow" w:hAnsi="Arial Narrow"/>
        </w:rPr>
        <w:t xml:space="preserve">rámcovej </w:t>
      </w:r>
      <w:r w:rsidRPr="002E7B57">
        <w:rPr>
          <w:rFonts w:ascii="Arial Narrow" w:hAnsi="Arial Narrow"/>
        </w:rPr>
        <w:t>dohode a vo faktúrach poskytovateľa, a to zverejnenie objednávateľom počas trvania jeho povinnosti podľa § 5a ods. 1, 6 a 9 a § 5b zákona o slobodnom prístupe k informáciám; tento súhlas možno odvolať len po predchádzajúcom písomnom súhlase objednávateľa.</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Pr="002E7B57"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Neoddeliteľnou súčasťou tejto rámcovej dohody sú prílohy č. 1</w:t>
      </w:r>
      <w:r>
        <w:rPr>
          <w:rFonts w:ascii="Arial Narrow" w:hAnsi="Arial Narrow"/>
        </w:rPr>
        <w:t xml:space="preserve"> - </w:t>
      </w:r>
      <w:r w:rsidRPr="002E7B57">
        <w:rPr>
          <w:rFonts w:ascii="Arial Narrow" w:hAnsi="Arial Narrow"/>
          <w:bCs/>
        </w:rPr>
        <w:t xml:space="preserve">Licenčná špecifikácia produktov TALEND, vrátane podporných služieb licenčnej podpory </w:t>
      </w:r>
      <w:proofErr w:type="spellStart"/>
      <w:r w:rsidRPr="002E7B57">
        <w:rPr>
          <w:rFonts w:ascii="Arial Narrow" w:hAnsi="Arial Narrow"/>
          <w:bCs/>
        </w:rPr>
        <w:t>Platinum</w:t>
      </w:r>
      <w:proofErr w:type="spellEnd"/>
      <w:r w:rsidRPr="002E7B57">
        <w:rPr>
          <w:rFonts w:ascii="Arial Narrow" w:hAnsi="Arial Narrow"/>
          <w:bCs/>
        </w:rPr>
        <w:t xml:space="preserve"> </w:t>
      </w:r>
      <w:proofErr w:type="spellStart"/>
      <w:r w:rsidRPr="002E7B57">
        <w:rPr>
          <w:rFonts w:ascii="Arial Narrow" w:hAnsi="Arial Narrow"/>
          <w:bCs/>
        </w:rPr>
        <w:t>Services</w:t>
      </w:r>
      <w:proofErr w:type="spellEnd"/>
      <w:r w:rsidRPr="002E7B57">
        <w:rPr>
          <w:rFonts w:ascii="Arial Narrow" w:hAnsi="Arial Narrow"/>
        </w:rPr>
        <w:t xml:space="preserve">, </w:t>
      </w:r>
      <w:r>
        <w:rPr>
          <w:rFonts w:ascii="Arial Narrow" w:hAnsi="Arial Narrow"/>
        </w:rPr>
        <w:t xml:space="preserve">príloha </w:t>
      </w:r>
      <w:r w:rsidRPr="002E7B57">
        <w:rPr>
          <w:rFonts w:ascii="Arial Narrow" w:hAnsi="Arial Narrow"/>
        </w:rPr>
        <w:t>č. 2</w:t>
      </w:r>
      <w:r>
        <w:rPr>
          <w:rFonts w:ascii="Arial Narrow" w:hAnsi="Arial Narrow"/>
        </w:rPr>
        <w:t xml:space="preserve"> – Zoznam oprávnených </w:t>
      </w:r>
      <w:r w:rsidRPr="002E7B57">
        <w:rPr>
          <w:rFonts w:ascii="Arial Narrow" w:hAnsi="Arial Narrow"/>
          <w:lang w:eastAsia="x-none"/>
        </w:rPr>
        <w:t>subjekt</w:t>
      </w:r>
      <w:r>
        <w:rPr>
          <w:rFonts w:ascii="Arial Narrow" w:hAnsi="Arial Narrow"/>
          <w:lang w:eastAsia="x-none"/>
        </w:rPr>
        <w:t>ov</w:t>
      </w:r>
      <w:r w:rsidRPr="002E7B57">
        <w:rPr>
          <w:rFonts w:ascii="Arial Narrow" w:hAnsi="Arial Narrow"/>
          <w:lang w:eastAsia="x-none"/>
        </w:rPr>
        <w:t xml:space="preserve"> štátnej a verejnej správy</w:t>
      </w:r>
      <w:r>
        <w:rPr>
          <w:rFonts w:ascii="Arial Narrow" w:hAnsi="Arial Narrow"/>
        </w:rPr>
        <w:t xml:space="preserve"> a príloha č. 3 - </w:t>
      </w:r>
      <w:r w:rsidRPr="008D32CA">
        <w:rPr>
          <w:rFonts w:ascii="Arial Narrow" w:hAnsi="Arial Narrow"/>
        </w:rPr>
        <w:t>Potvrdenie vlastníka licencií, ktorým sa preukazuje oprávnenosť  dodávať licencie/softvér TALEND</w:t>
      </w:r>
      <w:r>
        <w:rPr>
          <w:rFonts w:ascii="Arial Narrow" w:hAnsi="Arial Narrow"/>
        </w:rPr>
        <w:t>.</w:t>
      </w:r>
    </w:p>
    <w:p w:rsidR="004657F4" w:rsidRPr="002E7B57" w:rsidRDefault="004657F4" w:rsidP="004657F4">
      <w:pPr>
        <w:pStyle w:val="Aaa"/>
        <w:numPr>
          <w:ilvl w:val="0"/>
          <w:numId w:val="0"/>
        </w:numPr>
        <w:tabs>
          <w:tab w:val="left" w:pos="851"/>
        </w:tabs>
        <w:ind w:left="851" w:hanging="567"/>
        <w:rPr>
          <w:rFonts w:ascii="Arial Narrow" w:hAnsi="Arial Narrow"/>
        </w:rPr>
      </w:pPr>
    </w:p>
    <w:p w:rsidR="004657F4" w:rsidRDefault="004657F4" w:rsidP="004657F4">
      <w:pPr>
        <w:pStyle w:val="Aaa"/>
        <w:numPr>
          <w:ilvl w:val="1"/>
          <w:numId w:val="11"/>
        </w:numPr>
        <w:tabs>
          <w:tab w:val="left" w:pos="851"/>
        </w:tabs>
        <w:ind w:left="851" w:hanging="567"/>
        <w:rPr>
          <w:rFonts w:ascii="Arial Narrow" w:hAnsi="Arial Narrow"/>
        </w:rPr>
      </w:pPr>
      <w:r w:rsidRPr="002E7B57">
        <w:rPr>
          <w:rFonts w:ascii="Arial Narrow" w:hAnsi="Arial Narrow"/>
        </w:rPr>
        <w:t>Zmluvné strany vyhlasujú, že majú spôsobilosť na právne úkony v plnom rozsahu, ich prejavy vôle sú dostatočne zrozumiteľné a určité, ich zmluvná voľnosť nebola žiadnym spôsobom obmedzená. Zmluvné strany vyhlasujú, že túto rámcovú dohodu neuzatvárali v tiesni, ani v omyle, ani za inak nevýhodných podmienok, rámcovú dohodu si prečítali, jej obsahu porozumeli a na znak toho, že obsah tejto rámcovej dohody zodpovedá ich skutočnej a slobodnej vôli, ju prostredníctvom svojich oprávnených zástupcov podpísali.</w:t>
      </w:r>
    </w:p>
    <w:p w:rsidR="004657F4" w:rsidRDefault="004657F4" w:rsidP="004657F4">
      <w:pPr>
        <w:pStyle w:val="Odsekzoznamu"/>
        <w:rPr>
          <w:rFonts w:ascii="Arial Narrow" w:hAnsi="Arial Narrow"/>
        </w:rPr>
      </w:pPr>
    </w:p>
    <w:p w:rsidR="004657F4" w:rsidRDefault="004657F4" w:rsidP="004657F4">
      <w:pPr>
        <w:pStyle w:val="Aaa"/>
        <w:numPr>
          <w:ilvl w:val="1"/>
          <w:numId w:val="11"/>
        </w:numPr>
        <w:tabs>
          <w:tab w:val="left" w:pos="851"/>
        </w:tabs>
        <w:ind w:left="851" w:hanging="567"/>
        <w:rPr>
          <w:rFonts w:ascii="Arial Narrow" w:hAnsi="Arial Narrow"/>
        </w:rPr>
      </w:pPr>
      <w:r w:rsidRPr="00157A15">
        <w:rPr>
          <w:rFonts w:ascii="Arial Narrow" w:hAnsi="Arial Narrow"/>
        </w:rPr>
        <w:t xml:space="preserve">Poskytovateľ zaväzuje umožniť oprávneným osobám výkon kontroly/auditu súvisiaceho s poskytovanými službami tejto </w:t>
      </w:r>
      <w:r>
        <w:rPr>
          <w:rFonts w:ascii="Arial Narrow" w:hAnsi="Arial Narrow"/>
        </w:rPr>
        <w:t>r</w:t>
      </w:r>
      <w:r w:rsidRPr="00157A15">
        <w:rPr>
          <w:rFonts w:ascii="Arial Narrow" w:hAnsi="Arial Narrow"/>
        </w:rPr>
        <w:t xml:space="preserve">ámcovej dohody zo strany oprávnených osôb v zmysle všeobecne záväzných právnych predpisov (napr. zákon č. 528/2008 Z. z. o pomoci a podpore poskytovanej z fondov EÚ v znení neskorších predpisov, zákon č. 292/2014 Z. z. o príspevku poskytovanom z Európskych štrukturálnych a investičných fondov a o zmene a doplnení niektorých zákonov v znení neskorších predpisov) a tejto </w:t>
      </w:r>
      <w:r>
        <w:rPr>
          <w:rFonts w:ascii="Arial Narrow" w:hAnsi="Arial Narrow"/>
        </w:rPr>
        <w:t>r</w:t>
      </w:r>
      <w:r w:rsidRPr="00157A15">
        <w:rPr>
          <w:rFonts w:ascii="Arial Narrow" w:hAnsi="Arial Narrow"/>
        </w:rPr>
        <w:t xml:space="preserve">ámcovej dohody a poskytne im všetku potrebnú súčinnosť. Oprávnenými osobami sú najmä: Ministerstvo financií Slovenskej republiky, Poskytovateľ príspevku,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bode </w:t>
      </w:r>
      <w:r>
        <w:rPr>
          <w:rFonts w:ascii="Arial Narrow" w:hAnsi="Arial Narrow"/>
        </w:rPr>
        <w:t>r</w:t>
      </w:r>
      <w:r w:rsidRPr="00157A15">
        <w:rPr>
          <w:rFonts w:ascii="Arial Narrow" w:hAnsi="Arial Narrow"/>
        </w:rPr>
        <w:t xml:space="preserve">ámcovej dohody. Poskytovateľ berie na vedomie a súhlasí s oprávnením </w:t>
      </w:r>
      <w:r>
        <w:rPr>
          <w:rFonts w:ascii="Arial Narrow" w:hAnsi="Arial Narrow"/>
        </w:rPr>
        <w:t>objednávateľa, oprávnených osôb</w:t>
      </w:r>
      <w:r w:rsidRPr="00157A15">
        <w:rPr>
          <w:rFonts w:ascii="Arial Narrow" w:hAnsi="Arial Narrow"/>
        </w:rPr>
        <w:t xml:space="preserve"> a oprávnených orgánov v zmysle právnych predpisov SR a EÚ vykonávať kontrolu u </w:t>
      </w:r>
      <w:r>
        <w:rPr>
          <w:rFonts w:ascii="Arial Narrow" w:hAnsi="Arial Narrow"/>
        </w:rPr>
        <w:t>p</w:t>
      </w:r>
      <w:r w:rsidRPr="00157A15">
        <w:rPr>
          <w:rFonts w:ascii="Arial Narrow" w:hAnsi="Arial Narrow"/>
        </w:rPr>
        <w:t xml:space="preserve">oskytovateľa, umožniť vstup do kontrolovaných objektov oprávnenej osobe </w:t>
      </w:r>
      <w:r>
        <w:rPr>
          <w:rFonts w:ascii="Arial Narrow" w:hAnsi="Arial Narrow"/>
        </w:rPr>
        <w:t>objednávateľa</w:t>
      </w:r>
      <w:r w:rsidRPr="00157A15">
        <w:rPr>
          <w:rFonts w:ascii="Arial Narrow" w:hAnsi="Arial Narrow"/>
        </w:rPr>
        <w:t xml:space="preserve"> a ostatným orgánom kontroly a auditu zo strany poskytovateľa finančných prostriedkov EÚ (RO, SORO), poskytnúť vyžiadanú dokumentáciu od </w:t>
      </w:r>
      <w:r>
        <w:rPr>
          <w:rFonts w:ascii="Arial Narrow" w:hAnsi="Arial Narrow"/>
        </w:rPr>
        <w:t>p</w:t>
      </w:r>
      <w:r w:rsidRPr="00157A15">
        <w:rPr>
          <w:rFonts w:ascii="Arial Narrow" w:hAnsi="Arial Narrow"/>
        </w:rPr>
        <w:t xml:space="preserve">oskytovateľa, zabezpečiť prítomnosť oprávnených osôb zo strany </w:t>
      </w:r>
      <w:r>
        <w:rPr>
          <w:rFonts w:ascii="Arial Narrow" w:hAnsi="Arial Narrow"/>
        </w:rPr>
        <w:t>p</w:t>
      </w:r>
      <w:r w:rsidRPr="00157A15">
        <w:rPr>
          <w:rFonts w:ascii="Arial Narrow" w:hAnsi="Arial Narrow"/>
        </w:rPr>
        <w:t>oskytovateľa, prijatie nápravných opatrení a definovanie termínov na odstránenie zistených nedostatkov.</w:t>
      </w:r>
    </w:p>
    <w:p w:rsidR="004657F4" w:rsidRDefault="004657F4" w:rsidP="004657F4">
      <w:pPr>
        <w:pStyle w:val="Aaa"/>
        <w:numPr>
          <w:ilvl w:val="0"/>
          <w:numId w:val="0"/>
        </w:numPr>
        <w:tabs>
          <w:tab w:val="left" w:pos="851"/>
        </w:tabs>
        <w:ind w:left="576" w:hanging="576"/>
        <w:rPr>
          <w:rFonts w:ascii="Arial Narrow" w:hAnsi="Arial Narrow"/>
        </w:rPr>
      </w:pPr>
    </w:p>
    <w:p w:rsidR="004657F4" w:rsidRDefault="004657F4" w:rsidP="004657F4">
      <w:pPr>
        <w:pStyle w:val="Aaa"/>
        <w:numPr>
          <w:ilvl w:val="0"/>
          <w:numId w:val="0"/>
        </w:numPr>
        <w:tabs>
          <w:tab w:val="left" w:pos="851"/>
        </w:tabs>
        <w:ind w:left="576" w:hanging="576"/>
        <w:rPr>
          <w:rFonts w:ascii="Arial Narrow" w:hAnsi="Arial Narrow"/>
        </w:rPr>
      </w:pPr>
    </w:p>
    <w:p w:rsidR="004657F4" w:rsidRDefault="004657F4" w:rsidP="004657F4">
      <w:pPr>
        <w:pStyle w:val="Aaa"/>
        <w:numPr>
          <w:ilvl w:val="0"/>
          <w:numId w:val="0"/>
        </w:numPr>
        <w:tabs>
          <w:tab w:val="left" w:pos="851"/>
        </w:tabs>
        <w:ind w:left="576" w:hanging="576"/>
        <w:rPr>
          <w:rFonts w:ascii="Arial Narrow" w:hAnsi="Arial Narrow"/>
        </w:rPr>
      </w:pPr>
    </w:p>
    <w:p w:rsidR="004657F4" w:rsidRDefault="004657F4" w:rsidP="004657F4">
      <w:pPr>
        <w:pStyle w:val="Aaa"/>
        <w:numPr>
          <w:ilvl w:val="0"/>
          <w:numId w:val="0"/>
        </w:numPr>
        <w:tabs>
          <w:tab w:val="left" w:pos="851"/>
        </w:tabs>
        <w:ind w:left="576" w:hanging="576"/>
        <w:rPr>
          <w:rFonts w:ascii="Arial Narrow" w:hAnsi="Arial Narrow"/>
        </w:rPr>
      </w:pPr>
    </w:p>
    <w:p w:rsidR="004657F4" w:rsidRDefault="004657F4" w:rsidP="004657F4">
      <w:pPr>
        <w:pStyle w:val="Aaa"/>
        <w:numPr>
          <w:ilvl w:val="0"/>
          <w:numId w:val="0"/>
        </w:numPr>
        <w:tabs>
          <w:tab w:val="left" w:pos="851"/>
        </w:tabs>
        <w:ind w:left="576" w:hanging="576"/>
        <w:rPr>
          <w:rFonts w:ascii="Arial Narrow" w:hAnsi="Arial Narrow"/>
        </w:rPr>
      </w:pPr>
    </w:p>
    <w:p w:rsidR="004657F4" w:rsidRPr="00157A15" w:rsidRDefault="004657F4" w:rsidP="004657F4">
      <w:pPr>
        <w:pStyle w:val="Aaa"/>
        <w:numPr>
          <w:ilvl w:val="0"/>
          <w:numId w:val="0"/>
        </w:numPr>
        <w:tabs>
          <w:tab w:val="left" w:pos="851"/>
        </w:tabs>
        <w:ind w:left="576" w:hanging="576"/>
        <w:rPr>
          <w:rFonts w:ascii="Arial Narrow" w:hAnsi="Arial Narrow"/>
        </w:rPr>
      </w:pPr>
    </w:p>
    <w:p w:rsidR="004657F4" w:rsidRPr="002E7B57" w:rsidRDefault="004657F4" w:rsidP="004657F4">
      <w:pPr>
        <w:pStyle w:val="Pta"/>
        <w:tabs>
          <w:tab w:val="clear" w:pos="4536"/>
          <w:tab w:val="clear" w:pos="9072"/>
          <w:tab w:val="center" w:pos="1440"/>
          <w:tab w:val="center" w:pos="7560"/>
        </w:tabs>
        <w:spacing w:before="240" w:after="60"/>
        <w:ind w:left="993" w:right="29" w:hanging="993"/>
        <w:jc w:val="both"/>
        <w:rPr>
          <w:rFonts w:ascii="Arial Narrow" w:hAnsi="Arial Narrow" w:cs="Calibri"/>
          <w:lang w:val="sk-SK"/>
        </w:rPr>
      </w:pPr>
      <w:r w:rsidRPr="002E7B57">
        <w:rPr>
          <w:rFonts w:ascii="Arial Narrow" w:hAnsi="Arial Narrow" w:cs="Calibri"/>
          <w:lang w:val="sk-SK"/>
        </w:rPr>
        <w:tab/>
        <w:t>V Bratislave, dňa. . . . . . . . .</w:t>
      </w:r>
      <w:r w:rsidRPr="002E7B57">
        <w:rPr>
          <w:rFonts w:ascii="Arial Narrow" w:hAnsi="Arial Narrow" w:cs="Calibri"/>
          <w:lang w:val="sk-SK"/>
        </w:rPr>
        <w:tab/>
        <w:t xml:space="preserve">    V Bratislave, dňa . . . . . . . . .</w:t>
      </w:r>
    </w:p>
    <w:p w:rsidR="004657F4" w:rsidRPr="002E7B57" w:rsidRDefault="004657F4" w:rsidP="004657F4">
      <w:pPr>
        <w:pStyle w:val="Pta"/>
        <w:tabs>
          <w:tab w:val="clear" w:pos="4536"/>
          <w:tab w:val="clear" w:pos="9072"/>
          <w:tab w:val="center" w:pos="1440"/>
          <w:tab w:val="center" w:pos="7560"/>
        </w:tabs>
        <w:spacing w:before="240" w:after="60"/>
        <w:ind w:left="993" w:right="29" w:hanging="993"/>
        <w:jc w:val="both"/>
        <w:rPr>
          <w:rFonts w:ascii="Arial Narrow" w:hAnsi="Arial Narrow" w:cs="Calibri"/>
          <w:lang w:val="sk-SK"/>
        </w:rPr>
      </w:pPr>
      <w:r w:rsidRPr="002E7B57">
        <w:rPr>
          <w:rFonts w:ascii="Arial Narrow" w:hAnsi="Arial Narrow" w:cs="Calibri"/>
          <w:lang w:val="sk-SK"/>
        </w:rPr>
        <w:tab/>
        <w:t xml:space="preserve">       Za poskytovateľa:</w:t>
      </w:r>
      <w:r w:rsidRPr="002E7B57">
        <w:rPr>
          <w:rFonts w:ascii="Arial Narrow" w:hAnsi="Arial Narrow" w:cs="Calibri"/>
          <w:lang w:val="sk-SK"/>
        </w:rPr>
        <w:tab/>
        <w:t>Za objednávateľa:</w:t>
      </w:r>
    </w:p>
    <w:p w:rsidR="004657F4" w:rsidRPr="002E7B57" w:rsidRDefault="004657F4" w:rsidP="004657F4">
      <w:pPr>
        <w:pStyle w:val="Pta"/>
        <w:tabs>
          <w:tab w:val="clear" w:pos="4536"/>
          <w:tab w:val="clear" w:pos="9072"/>
          <w:tab w:val="center" w:pos="1440"/>
          <w:tab w:val="center" w:pos="7560"/>
        </w:tabs>
        <w:spacing w:before="240" w:after="60"/>
        <w:ind w:left="993" w:right="29" w:hanging="993"/>
        <w:jc w:val="both"/>
        <w:rPr>
          <w:rFonts w:ascii="Arial Narrow" w:hAnsi="Arial Narrow" w:cs="Calibri"/>
          <w:lang w:val="sk-SK"/>
        </w:rPr>
      </w:pPr>
      <w:r w:rsidRPr="002E7B57">
        <w:rPr>
          <w:rFonts w:ascii="Arial Narrow" w:hAnsi="Arial Narrow" w:cs="Calibri"/>
          <w:lang w:val="sk-SK"/>
        </w:rPr>
        <w:tab/>
        <w:t>………………………………………</w:t>
      </w:r>
      <w:r w:rsidRPr="002E7B57">
        <w:rPr>
          <w:rFonts w:ascii="Arial Narrow" w:hAnsi="Arial Narrow" w:cs="Calibri"/>
          <w:lang w:val="sk-SK"/>
        </w:rPr>
        <w:tab/>
        <w:t>………………………………………</w:t>
      </w:r>
    </w:p>
    <w:p w:rsidR="004657F4" w:rsidRPr="002E7B57" w:rsidRDefault="004657F4" w:rsidP="004657F4">
      <w:pPr>
        <w:pStyle w:val="Pta"/>
        <w:tabs>
          <w:tab w:val="clear" w:pos="4536"/>
          <w:tab w:val="clear" w:pos="9072"/>
          <w:tab w:val="center" w:pos="1440"/>
          <w:tab w:val="center" w:pos="7560"/>
        </w:tabs>
        <w:spacing w:before="240" w:after="60"/>
        <w:ind w:left="993" w:right="29" w:hanging="993"/>
        <w:jc w:val="both"/>
        <w:rPr>
          <w:rFonts w:ascii="Arial Narrow" w:hAnsi="Arial Narrow" w:cs="Calibri"/>
          <w:lang w:val="sk-SK"/>
        </w:rPr>
      </w:pPr>
      <w:r w:rsidRPr="002E7B57">
        <w:rPr>
          <w:rFonts w:ascii="Arial Narrow" w:hAnsi="Arial Narrow"/>
          <w:i/>
          <w:lang w:val="sk-SK"/>
        </w:rPr>
        <w:tab/>
        <w:t xml:space="preserve">   &lt; doplní uchádzač &gt;</w:t>
      </w:r>
      <w:r w:rsidRPr="002E7B57">
        <w:rPr>
          <w:rFonts w:ascii="Arial Narrow" w:hAnsi="Arial Narrow"/>
          <w:i/>
          <w:lang w:val="sk-SK"/>
        </w:rPr>
        <w:tab/>
        <w:t>&lt; doplní VO &gt;</w:t>
      </w: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jc w:val="center"/>
        <w:rPr>
          <w:rFonts w:ascii="Arial Narrow" w:hAnsi="Arial Narrow" w:cs="Calibri"/>
          <w:b/>
          <w:bCs/>
        </w:rPr>
      </w:pPr>
      <w:r w:rsidRPr="002E7B57">
        <w:rPr>
          <w:rFonts w:ascii="Arial Narrow" w:hAnsi="Arial Narrow" w:cs="Calibri"/>
          <w:b/>
          <w:bCs/>
        </w:rPr>
        <w:lastRenderedPageBreak/>
        <w:t xml:space="preserve">Príloha č. 1 </w:t>
      </w:r>
    </w:p>
    <w:p w:rsidR="004657F4" w:rsidRPr="002E7B57" w:rsidRDefault="004657F4" w:rsidP="004657F4">
      <w:pPr>
        <w:jc w:val="center"/>
        <w:rPr>
          <w:rFonts w:ascii="Arial Narrow" w:hAnsi="Arial Narrow" w:cs="Calibri"/>
          <w:b/>
          <w:bCs/>
        </w:rPr>
      </w:pPr>
    </w:p>
    <w:p w:rsidR="004657F4" w:rsidRPr="002E7B57" w:rsidRDefault="004657F4" w:rsidP="004657F4">
      <w:pPr>
        <w:ind w:left="360" w:hanging="360"/>
        <w:jc w:val="center"/>
        <w:rPr>
          <w:rFonts w:ascii="Arial Narrow" w:hAnsi="Arial Narrow" w:cs="Calibri"/>
          <w:b/>
          <w:bCs/>
        </w:rPr>
      </w:pPr>
      <w:r w:rsidRPr="002E7B57">
        <w:rPr>
          <w:rFonts w:ascii="Arial Narrow" w:hAnsi="Arial Narrow" w:cs="Calibri"/>
          <w:b/>
          <w:bCs/>
        </w:rPr>
        <w:t>k CENTRÁLNEJ RÁMCOVEJ DOHODE NA DODÁVKU LICENCIÍ A LICENČNEJ PODPORY TALEND</w:t>
      </w:r>
      <w:r w:rsidRPr="002E7B57" w:rsidDel="00F544CD">
        <w:rPr>
          <w:rFonts w:ascii="Arial Narrow" w:hAnsi="Arial Narrow" w:cs="Calibri"/>
          <w:b/>
          <w:bCs/>
        </w:rPr>
        <w:t xml:space="preserve"> </w:t>
      </w:r>
      <w:r w:rsidRPr="002E7B57">
        <w:rPr>
          <w:rFonts w:ascii="Arial Narrow" w:hAnsi="Arial Narrow" w:cs="Calibri"/>
          <w:b/>
          <w:bCs/>
        </w:rPr>
        <w:t>č. 2018/117</w:t>
      </w:r>
    </w:p>
    <w:p w:rsidR="004657F4" w:rsidRPr="002E7B57" w:rsidRDefault="004657F4" w:rsidP="004657F4">
      <w:pPr>
        <w:jc w:val="center"/>
        <w:rPr>
          <w:rFonts w:ascii="Arial Narrow" w:hAnsi="Arial Narrow" w:cs="Calibri"/>
        </w:rPr>
      </w:pPr>
      <w:r w:rsidRPr="002E7B57">
        <w:rPr>
          <w:rFonts w:ascii="Arial Narrow" w:hAnsi="Arial Narrow" w:cs="Calibri"/>
        </w:rPr>
        <w:t xml:space="preserve">medzi </w:t>
      </w:r>
      <w:r w:rsidRPr="002E7B57">
        <w:rPr>
          <w:rFonts w:ascii="Arial Narrow" w:hAnsi="Arial Narrow"/>
        </w:rPr>
        <w:t>Ministerstvo financií Slovenskej republiky</w:t>
      </w:r>
      <w:r w:rsidRPr="002E7B57">
        <w:rPr>
          <w:rFonts w:ascii="Arial Narrow" w:hAnsi="Arial Narrow" w:cs="Calibri"/>
        </w:rPr>
        <w:t xml:space="preserve"> a </w:t>
      </w:r>
      <w:r w:rsidRPr="002E7B57">
        <w:rPr>
          <w:rFonts w:ascii="Arial Narrow" w:hAnsi="Arial Narrow"/>
          <w:i/>
        </w:rPr>
        <w:t xml:space="preserve">&lt; </w:t>
      </w:r>
      <w:r w:rsidRPr="002E7B57">
        <w:rPr>
          <w:rFonts w:ascii="Arial Narrow" w:hAnsi="Arial Narrow" w:cs="Calibri"/>
          <w:i/>
        </w:rPr>
        <w:t>doplní sa víťaz &gt;</w:t>
      </w:r>
    </w:p>
    <w:p w:rsidR="004657F4" w:rsidRPr="002E7B57" w:rsidRDefault="004657F4" w:rsidP="004657F4">
      <w:pPr>
        <w:jc w:val="center"/>
        <w:rPr>
          <w:rFonts w:ascii="Arial Narrow" w:hAnsi="Arial Narrow" w:cs="Calibri"/>
        </w:rPr>
      </w:pPr>
    </w:p>
    <w:p w:rsidR="004657F4" w:rsidRPr="002E7B57" w:rsidRDefault="004657F4" w:rsidP="004657F4">
      <w:pPr>
        <w:pStyle w:val="ABLOCKPARA"/>
        <w:jc w:val="both"/>
        <w:rPr>
          <w:rFonts w:ascii="Arial Narrow" w:hAnsi="Arial Narrow" w:cs="Calibri"/>
          <w:bCs/>
          <w:lang w:val="sk-SK"/>
        </w:rPr>
      </w:pPr>
      <w:r w:rsidRPr="002E7B57">
        <w:rPr>
          <w:rFonts w:ascii="Arial Narrow" w:hAnsi="Arial Narrow" w:cs="Calibri"/>
          <w:bCs/>
          <w:lang w:val="sk-SK"/>
        </w:rPr>
        <w:t xml:space="preserve">Licenčná špecifikácia produktov TALEND, vrátane podporných služieb licenčnej podpory </w:t>
      </w:r>
      <w:proofErr w:type="spellStart"/>
      <w:r w:rsidRPr="002E7B57">
        <w:rPr>
          <w:rFonts w:ascii="Arial Narrow" w:hAnsi="Arial Narrow" w:cs="Calibri"/>
          <w:bCs/>
          <w:lang w:val="sk-SK"/>
        </w:rPr>
        <w:t>Platinum</w:t>
      </w:r>
      <w:proofErr w:type="spellEnd"/>
      <w:r w:rsidRPr="002E7B57">
        <w:rPr>
          <w:rFonts w:ascii="Arial Narrow" w:hAnsi="Arial Narrow" w:cs="Calibri"/>
          <w:bCs/>
          <w:lang w:val="sk-SK"/>
        </w:rPr>
        <w:t xml:space="preserve"> </w:t>
      </w:r>
      <w:proofErr w:type="spellStart"/>
      <w:r w:rsidRPr="002E7B57">
        <w:rPr>
          <w:rFonts w:ascii="Arial Narrow" w:hAnsi="Arial Narrow" w:cs="Calibri"/>
          <w:bCs/>
          <w:lang w:val="sk-SK"/>
        </w:rPr>
        <w:t>Services</w:t>
      </w:r>
      <w:proofErr w:type="spellEnd"/>
      <w:r w:rsidRPr="002E7B57">
        <w:rPr>
          <w:rFonts w:ascii="Arial Narrow" w:hAnsi="Arial Narrow" w:cs="Calibri"/>
          <w:bCs/>
          <w:lang w:val="sk-SK"/>
        </w:rPr>
        <w:t xml:space="preserve">. V prípade, ak licencia v sebe zahŕňa aj </w:t>
      </w:r>
      <w:proofErr w:type="spellStart"/>
      <w:r w:rsidRPr="002E7B57">
        <w:rPr>
          <w:rFonts w:ascii="Arial Narrow" w:hAnsi="Arial Narrow" w:cs="Calibri"/>
          <w:bCs/>
          <w:lang w:val="sk-SK"/>
        </w:rPr>
        <w:t>Platinum</w:t>
      </w:r>
      <w:proofErr w:type="spellEnd"/>
      <w:r w:rsidRPr="002E7B57">
        <w:rPr>
          <w:rFonts w:ascii="Arial Narrow" w:hAnsi="Arial Narrow" w:cs="Calibri"/>
          <w:bCs/>
          <w:lang w:val="sk-SK"/>
        </w:rPr>
        <w:t xml:space="preserve"> </w:t>
      </w:r>
      <w:r w:rsidRPr="002E7B57">
        <w:rPr>
          <w:rFonts w:ascii="Arial Narrow" w:hAnsi="Arial Narrow"/>
        </w:rPr>
        <w:t>Support</w:t>
      </w:r>
      <w:r w:rsidRPr="002E7B57">
        <w:rPr>
          <w:rFonts w:ascii="Arial Narrow" w:hAnsi="Arial Narrow" w:cs="Calibri"/>
          <w:bCs/>
          <w:lang w:val="sk-SK"/>
        </w:rPr>
        <w:t xml:space="preserve"> </w:t>
      </w:r>
      <w:proofErr w:type="spellStart"/>
      <w:r w:rsidRPr="002E7B57">
        <w:rPr>
          <w:rFonts w:ascii="Arial Narrow" w:hAnsi="Arial Narrow" w:cs="Calibri"/>
          <w:bCs/>
          <w:lang w:val="sk-SK"/>
        </w:rPr>
        <w:t>Services</w:t>
      </w:r>
      <w:proofErr w:type="spellEnd"/>
      <w:r w:rsidRPr="002E7B57">
        <w:rPr>
          <w:rFonts w:ascii="Arial Narrow" w:hAnsi="Arial Narrow" w:cs="Calibri"/>
          <w:bCs/>
          <w:lang w:val="sk-SK"/>
        </w:rPr>
        <w:t xml:space="preserve">, jednotková referenčná cena v sebe zahŕňa aj cenu za 12 mesačnú licenčnú podporu </w:t>
      </w:r>
      <w:proofErr w:type="spellStart"/>
      <w:r w:rsidRPr="002E7B57">
        <w:rPr>
          <w:rFonts w:ascii="Arial Narrow" w:hAnsi="Arial Narrow" w:cs="Calibri"/>
          <w:bCs/>
          <w:lang w:val="sk-SK"/>
        </w:rPr>
        <w:t>Platinum</w:t>
      </w:r>
      <w:proofErr w:type="spellEnd"/>
      <w:r w:rsidRPr="002E7B57">
        <w:rPr>
          <w:rFonts w:ascii="Arial Narrow" w:hAnsi="Arial Narrow" w:cs="Calibri"/>
          <w:bCs/>
          <w:lang w:val="sk-SK"/>
        </w:rPr>
        <w:t xml:space="preserve"> </w:t>
      </w:r>
      <w:proofErr w:type="spellStart"/>
      <w:r w:rsidRPr="002E7B57">
        <w:rPr>
          <w:rFonts w:ascii="Arial Narrow" w:hAnsi="Arial Narrow" w:cs="Calibri"/>
          <w:bCs/>
          <w:lang w:val="sk-SK"/>
        </w:rPr>
        <w:t>Services</w:t>
      </w:r>
      <w:proofErr w:type="spellEnd"/>
      <w:r w:rsidRPr="002E7B57">
        <w:rPr>
          <w:rFonts w:ascii="Arial Narrow" w:hAnsi="Arial Narrow" w:cs="Calibri"/>
          <w:bCs/>
          <w:lang w:val="sk-SK"/>
        </w:rPr>
        <w:t xml:space="preserve">. </w:t>
      </w:r>
    </w:p>
    <w:p w:rsidR="004657F4" w:rsidRPr="002E7B57" w:rsidRDefault="004657F4" w:rsidP="004657F4">
      <w:pPr>
        <w:pStyle w:val="ABLOCKPARA"/>
        <w:rPr>
          <w:rFonts w:ascii="Arial Narrow" w:hAnsi="Arial Narrow" w:cs="Calibri"/>
          <w:b/>
          <w:bCs/>
          <w:lang w:val="sk-SK"/>
        </w:rPr>
      </w:pPr>
    </w:p>
    <w:p w:rsidR="004657F4" w:rsidRPr="002E7B57" w:rsidRDefault="004657F4" w:rsidP="004657F4">
      <w:pPr>
        <w:pStyle w:val="ABLOCKPARA"/>
        <w:rPr>
          <w:rFonts w:ascii="Arial Narrow" w:hAnsi="Arial Narrow" w:cs="Calibri"/>
          <w:b/>
          <w:bCs/>
          <w:lang w:val="sk-SK"/>
        </w:rPr>
      </w:pPr>
    </w:p>
    <w:tbl>
      <w:tblPr>
        <w:tblW w:w="949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35" w:type="dxa"/>
          <w:left w:w="50" w:type="dxa"/>
          <w:bottom w:w="24" w:type="dxa"/>
          <w:right w:w="51" w:type="dxa"/>
        </w:tblCellMar>
        <w:tblLook w:val="04A0" w:firstRow="1" w:lastRow="0" w:firstColumn="1" w:lastColumn="0" w:noHBand="0" w:noVBand="1"/>
      </w:tblPr>
      <w:tblGrid>
        <w:gridCol w:w="848"/>
        <w:gridCol w:w="6052"/>
        <w:gridCol w:w="993"/>
        <w:gridCol w:w="1602"/>
      </w:tblGrid>
      <w:tr w:rsidR="004657F4" w:rsidRPr="002E7B57" w:rsidTr="00E127E0">
        <w:trPr>
          <w:trHeight w:val="944"/>
          <w:jc w:val="center"/>
        </w:trPr>
        <w:tc>
          <w:tcPr>
            <w:tcW w:w="848" w:type="dxa"/>
            <w:shd w:val="clear" w:color="auto" w:fill="DEEAF6" w:themeFill="accent1" w:themeFillTint="33"/>
            <w:vAlign w:val="center"/>
          </w:tcPr>
          <w:p w:rsidR="004657F4" w:rsidRPr="002E7B57" w:rsidRDefault="004657F4" w:rsidP="00E127E0">
            <w:pPr>
              <w:jc w:val="center"/>
              <w:rPr>
                <w:rFonts w:ascii="Arial Narrow" w:hAnsi="Arial Narrow"/>
                <w:b/>
              </w:rPr>
            </w:pPr>
            <w:r w:rsidRPr="002E7B57">
              <w:rPr>
                <w:rFonts w:ascii="Arial Narrow" w:hAnsi="Arial Narrow"/>
                <w:b/>
              </w:rPr>
              <w:t>Položka č.</w:t>
            </w:r>
          </w:p>
        </w:tc>
        <w:tc>
          <w:tcPr>
            <w:tcW w:w="6052" w:type="dxa"/>
            <w:shd w:val="clear" w:color="auto" w:fill="DEEAF6" w:themeFill="accent1" w:themeFillTint="33"/>
            <w:vAlign w:val="center"/>
          </w:tcPr>
          <w:p w:rsidR="004657F4" w:rsidRPr="002E7B57" w:rsidRDefault="004657F4" w:rsidP="00E127E0">
            <w:pPr>
              <w:rPr>
                <w:rFonts w:ascii="Arial Narrow" w:hAnsi="Arial Narrow"/>
                <w:b/>
              </w:rPr>
            </w:pPr>
            <w:r w:rsidRPr="002E7B57">
              <w:rPr>
                <w:rFonts w:ascii="Arial Narrow" w:hAnsi="Arial Narrow"/>
                <w:b/>
              </w:rPr>
              <w:t>Názov licencie a špecifikácia</w:t>
            </w:r>
          </w:p>
        </w:tc>
        <w:tc>
          <w:tcPr>
            <w:tcW w:w="993" w:type="dxa"/>
            <w:shd w:val="clear" w:color="auto" w:fill="DEEAF6" w:themeFill="accent1" w:themeFillTint="33"/>
            <w:vAlign w:val="center"/>
          </w:tcPr>
          <w:p w:rsidR="004657F4" w:rsidRPr="002E7B57" w:rsidRDefault="004657F4" w:rsidP="00E127E0">
            <w:pPr>
              <w:jc w:val="center"/>
              <w:rPr>
                <w:rFonts w:ascii="Arial Narrow" w:hAnsi="Arial Narrow"/>
                <w:b/>
              </w:rPr>
            </w:pPr>
            <w:r w:rsidRPr="002E7B57">
              <w:rPr>
                <w:rFonts w:ascii="Arial Narrow" w:hAnsi="Arial Narrow"/>
                <w:b/>
              </w:rPr>
              <w:t>Počet licencií v ks</w:t>
            </w:r>
          </w:p>
        </w:tc>
        <w:tc>
          <w:tcPr>
            <w:tcW w:w="1602" w:type="dxa"/>
            <w:shd w:val="clear" w:color="auto" w:fill="DEEAF6" w:themeFill="accent1" w:themeFillTint="33"/>
            <w:vAlign w:val="center"/>
          </w:tcPr>
          <w:p w:rsidR="004657F4" w:rsidRPr="002E7B57" w:rsidRDefault="004657F4" w:rsidP="00E127E0">
            <w:pPr>
              <w:jc w:val="center"/>
              <w:rPr>
                <w:rFonts w:ascii="Arial Narrow" w:hAnsi="Arial Narrow"/>
                <w:b/>
              </w:rPr>
            </w:pPr>
            <w:r w:rsidRPr="002E7B57">
              <w:rPr>
                <w:rFonts w:ascii="Arial Narrow" w:hAnsi="Arial Narrow"/>
                <w:b/>
              </w:rPr>
              <w:t xml:space="preserve">Jednotková referenčná cena v € bez DPH </w:t>
            </w: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1</w:t>
            </w:r>
          </w:p>
        </w:tc>
        <w:tc>
          <w:tcPr>
            <w:tcW w:w="6052" w:type="dxa"/>
            <w:shd w:val="clear" w:color="auto" w:fill="auto"/>
            <w:vAlign w:val="center"/>
          </w:tcPr>
          <w:p w:rsidR="004657F4" w:rsidRPr="002E7B57" w:rsidRDefault="004657F4" w:rsidP="00E127E0">
            <w:pPr>
              <w:rPr>
                <w:rFonts w:ascii="Arial Narrow" w:hAnsi="Arial Narrow"/>
              </w:rPr>
            </w:pPr>
            <w:proofErr w:type="spellStart"/>
            <w:r w:rsidRPr="002E7B57">
              <w:rPr>
                <w:rFonts w:ascii="Arial Narrow" w:hAnsi="Arial Narrow"/>
              </w:rPr>
              <w:t>Talend</w:t>
            </w:r>
            <w:proofErr w:type="spellEnd"/>
            <w:r w:rsidRPr="002E7B57">
              <w:rPr>
                <w:rFonts w:ascii="Arial Narrow" w:hAnsi="Arial Narrow"/>
              </w:rPr>
              <w:t xml:space="preserve"> MDM </w:t>
            </w:r>
            <w:proofErr w:type="spellStart"/>
            <w:r w:rsidRPr="002E7B57">
              <w:rPr>
                <w:rFonts w:ascii="Arial Narrow" w:hAnsi="Arial Narrow"/>
              </w:rPr>
              <w:t>Platform</w:t>
            </w:r>
            <w:proofErr w:type="spellEnd"/>
            <w:r w:rsidRPr="002E7B57">
              <w:rPr>
                <w:rFonts w:ascii="Arial Narrow" w:hAnsi="Arial Narrow"/>
              </w:rPr>
              <w:t xml:space="preserve"> (</w:t>
            </w:r>
            <w:proofErr w:type="spellStart"/>
            <w:r w:rsidRPr="002E7B57">
              <w:rPr>
                <w:rFonts w:ascii="Arial Narrow" w:hAnsi="Arial Narrow"/>
              </w:rPr>
              <w:t>incl</w:t>
            </w:r>
            <w:proofErr w:type="spellEnd"/>
            <w:r w:rsidRPr="002E7B57">
              <w:rPr>
                <w:rFonts w:ascii="Arial Narrow" w:hAnsi="Arial Narrow"/>
              </w:rPr>
              <w:t xml:space="preserve">. 5 </w:t>
            </w:r>
            <w:proofErr w:type="spellStart"/>
            <w:r w:rsidRPr="002E7B57">
              <w:rPr>
                <w:rFonts w:ascii="Arial Narrow" w:hAnsi="Arial Narrow"/>
              </w:rPr>
              <w:t>Named</w:t>
            </w:r>
            <w:proofErr w:type="spellEnd"/>
            <w:r w:rsidRPr="002E7B57">
              <w:rPr>
                <w:rFonts w:ascii="Arial Narrow" w:hAnsi="Arial Narrow"/>
              </w:rPr>
              <w:t xml:space="preserve"> </w:t>
            </w:r>
            <w:proofErr w:type="spellStart"/>
            <w:r w:rsidRPr="002E7B57">
              <w:rPr>
                <w:rFonts w:ascii="Arial Narrow" w:hAnsi="Arial Narrow"/>
              </w:rPr>
              <w:t>users</w:t>
            </w:r>
            <w:proofErr w:type="spellEnd"/>
            <w:r w:rsidRPr="002E7B57">
              <w:rPr>
                <w:rFonts w:ascii="Arial Narrow" w:hAnsi="Arial Narrow"/>
              </w:rPr>
              <w:t xml:space="preserve"> and </w:t>
            </w:r>
            <w:proofErr w:type="spellStart"/>
            <w:r w:rsidRPr="002E7B57">
              <w:rPr>
                <w:rFonts w:ascii="Arial Narrow" w:hAnsi="Arial Narrow"/>
              </w:rPr>
              <w:t>Platinum</w:t>
            </w:r>
            <w:proofErr w:type="spellEnd"/>
            <w:r w:rsidRPr="002E7B57">
              <w:rPr>
                <w:rFonts w:ascii="Arial Narrow" w:hAnsi="Arial Narrow"/>
              </w:rPr>
              <w:t xml:space="preserve"> </w:t>
            </w:r>
            <w:proofErr w:type="spellStart"/>
            <w:r w:rsidRPr="002E7B57">
              <w:rPr>
                <w:rFonts w:ascii="Arial Narrow" w:hAnsi="Arial Narrow"/>
              </w:rPr>
              <w:t>Support</w:t>
            </w:r>
            <w:proofErr w:type="spellEnd"/>
            <w:r w:rsidRPr="002E7B57">
              <w:rPr>
                <w:rFonts w:ascii="Arial Narrow" w:hAnsi="Arial Narrow"/>
              </w:rPr>
              <w:t xml:space="preserve"> </w:t>
            </w:r>
            <w:proofErr w:type="spellStart"/>
            <w:r w:rsidRPr="002E7B57">
              <w:rPr>
                <w:rFonts w:ascii="Arial Narrow" w:hAnsi="Arial Narrow"/>
              </w:rPr>
              <w:t>Services</w:t>
            </w:r>
            <w:proofErr w:type="spellEnd"/>
            <w:r w:rsidRPr="002E7B57">
              <w:rPr>
                <w:rFonts w:ascii="Arial Narrow" w:hAnsi="Arial Narrow"/>
              </w:rPr>
              <w:t>)</w:t>
            </w:r>
          </w:p>
        </w:tc>
        <w:tc>
          <w:tcPr>
            <w:tcW w:w="993" w:type="dxa"/>
            <w:shd w:val="clear" w:color="auto" w:fill="auto"/>
            <w:vAlign w:val="center"/>
          </w:tcPr>
          <w:p w:rsidR="004657F4" w:rsidRPr="002E7B57" w:rsidRDefault="004657F4" w:rsidP="00E127E0">
            <w:pPr>
              <w:jc w:val="center"/>
              <w:rPr>
                <w:rFonts w:ascii="Arial Narrow" w:hAnsi="Arial Narrow"/>
              </w:rPr>
            </w:pPr>
            <w:r w:rsidRPr="002E7B57">
              <w:rPr>
                <w:rFonts w:ascii="Arial Narrow" w:hAnsi="Arial Narrow"/>
              </w:rPr>
              <w:t>9</w:t>
            </w:r>
          </w:p>
        </w:tc>
        <w:tc>
          <w:tcPr>
            <w:tcW w:w="1602" w:type="dxa"/>
            <w:vAlign w:val="center"/>
          </w:tcPr>
          <w:p w:rsidR="004657F4" w:rsidRPr="002E7B57" w:rsidRDefault="004657F4" w:rsidP="00E127E0">
            <w:pPr>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2</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Talend</w:t>
            </w:r>
            <w:proofErr w:type="spellEnd"/>
            <w:r w:rsidRPr="002E7B57">
              <w:rPr>
                <w:rFonts w:ascii="Arial Narrow" w:hAnsi="Arial Narrow"/>
              </w:rPr>
              <w:t xml:space="preserve"> </w:t>
            </w:r>
            <w:proofErr w:type="spellStart"/>
            <w:r w:rsidRPr="002E7B57">
              <w:rPr>
                <w:rFonts w:ascii="Arial Narrow" w:hAnsi="Arial Narrow"/>
              </w:rPr>
              <w:t>Data</w:t>
            </w:r>
            <w:proofErr w:type="spellEnd"/>
            <w:r w:rsidRPr="002E7B57">
              <w:rPr>
                <w:rFonts w:ascii="Arial Narrow" w:hAnsi="Arial Narrow"/>
              </w:rPr>
              <w:t xml:space="preserve"> </w:t>
            </w:r>
            <w:proofErr w:type="spellStart"/>
            <w:r w:rsidRPr="002E7B57">
              <w:rPr>
                <w:rFonts w:ascii="Arial Narrow" w:hAnsi="Arial Narrow"/>
              </w:rPr>
              <w:t>Preparation</w:t>
            </w:r>
            <w:proofErr w:type="spellEnd"/>
            <w:r w:rsidRPr="002E7B57">
              <w:rPr>
                <w:rFonts w:ascii="Arial Narrow" w:hAnsi="Arial Narrow"/>
              </w:rPr>
              <w:t xml:space="preserve"> </w:t>
            </w:r>
            <w:proofErr w:type="spellStart"/>
            <w:r w:rsidRPr="002E7B57">
              <w:rPr>
                <w:rFonts w:ascii="Arial Narrow" w:hAnsi="Arial Narrow"/>
              </w:rPr>
              <w:t>Add</w:t>
            </w:r>
            <w:proofErr w:type="spellEnd"/>
            <w:r w:rsidRPr="002E7B57">
              <w:rPr>
                <w:rFonts w:ascii="Arial Narrow" w:hAnsi="Arial Narrow"/>
              </w:rPr>
              <w:t xml:space="preserve">-on (10 </w:t>
            </w:r>
            <w:proofErr w:type="spellStart"/>
            <w:r w:rsidRPr="002E7B57">
              <w:rPr>
                <w:rFonts w:ascii="Arial Narrow" w:hAnsi="Arial Narrow"/>
              </w:rPr>
              <w:t>Named</w:t>
            </w:r>
            <w:proofErr w:type="spellEnd"/>
            <w:r w:rsidRPr="002E7B57">
              <w:rPr>
                <w:rFonts w:ascii="Arial Narrow" w:hAnsi="Arial Narrow"/>
              </w:rPr>
              <w:t xml:space="preserve"> </w:t>
            </w:r>
            <w:proofErr w:type="spellStart"/>
            <w:r w:rsidRPr="002E7B57">
              <w:rPr>
                <w:rFonts w:ascii="Arial Narrow" w:hAnsi="Arial Narrow"/>
              </w:rPr>
              <w:t>Users</w:t>
            </w:r>
            <w:proofErr w:type="spellEnd"/>
            <w:r w:rsidRPr="002E7B57">
              <w:rPr>
                <w:rFonts w:ascii="Arial Narrow" w:hAnsi="Arial Narrow"/>
              </w:rPr>
              <w:t>)</w:t>
            </w:r>
          </w:p>
        </w:tc>
        <w:tc>
          <w:tcPr>
            <w:tcW w:w="993" w:type="dxa"/>
            <w:shd w:val="clear" w:color="auto" w:fill="auto"/>
          </w:tcPr>
          <w:p w:rsidR="004657F4" w:rsidRPr="002E7B57" w:rsidRDefault="004657F4" w:rsidP="00E127E0">
            <w:pPr>
              <w:jc w:val="center"/>
              <w:rPr>
                <w:rFonts w:ascii="Arial Narrow" w:hAnsi="Arial Narrow"/>
              </w:rPr>
            </w:pPr>
            <w:r w:rsidRPr="002E7B57">
              <w:rPr>
                <w:rFonts w:ascii="Arial Narrow" w:hAnsi="Arial Narrow"/>
              </w:rPr>
              <w:t>1</w:t>
            </w:r>
          </w:p>
        </w:tc>
        <w:tc>
          <w:tcPr>
            <w:tcW w:w="1602" w:type="dxa"/>
          </w:tcPr>
          <w:p w:rsidR="004657F4" w:rsidRPr="002E7B57" w:rsidRDefault="004657F4" w:rsidP="00E127E0">
            <w:pPr>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3</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Data</w:t>
            </w:r>
            <w:proofErr w:type="spellEnd"/>
            <w:r w:rsidRPr="002E7B57">
              <w:rPr>
                <w:rFonts w:ascii="Arial Narrow" w:hAnsi="Arial Narrow"/>
              </w:rPr>
              <w:t xml:space="preserve"> </w:t>
            </w:r>
            <w:proofErr w:type="spellStart"/>
            <w:r w:rsidRPr="002E7B57">
              <w:rPr>
                <w:rFonts w:ascii="Arial Narrow" w:hAnsi="Arial Narrow"/>
              </w:rPr>
              <w:t>Stewardship</w:t>
            </w:r>
            <w:proofErr w:type="spellEnd"/>
            <w:r w:rsidRPr="002E7B57">
              <w:rPr>
                <w:rFonts w:ascii="Arial Narrow" w:hAnsi="Arial Narrow"/>
              </w:rPr>
              <w:t xml:space="preserve"> </w:t>
            </w:r>
            <w:proofErr w:type="spellStart"/>
            <w:r w:rsidRPr="002E7B57">
              <w:rPr>
                <w:rFonts w:ascii="Arial Narrow" w:hAnsi="Arial Narrow"/>
              </w:rPr>
              <w:t>Add</w:t>
            </w:r>
            <w:proofErr w:type="spellEnd"/>
            <w:r w:rsidRPr="002E7B57">
              <w:rPr>
                <w:rFonts w:ascii="Arial Narrow" w:hAnsi="Arial Narrow"/>
              </w:rPr>
              <w:t xml:space="preserve">-On (5 </w:t>
            </w:r>
            <w:proofErr w:type="spellStart"/>
            <w:r w:rsidRPr="002E7B57">
              <w:rPr>
                <w:rFonts w:ascii="Arial Narrow" w:hAnsi="Arial Narrow"/>
              </w:rPr>
              <w:t>Named</w:t>
            </w:r>
            <w:proofErr w:type="spellEnd"/>
            <w:r w:rsidRPr="002E7B57">
              <w:rPr>
                <w:rFonts w:ascii="Arial Narrow" w:hAnsi="Arial Narrow"/>
              </w:rPr>
              <w:t xml:space="preserve"> </w:t>
            </w:r>
            <w:proofErr w:type="spellStart"/>
            <w:r w:rsidRPr="002E7B57">
              <w:rPr>
                <w:rFonts w:ascii="Arial Narrow" w:hAnsi="Arial Narrow"/>
              </w:rPr>
              <w:t>Users</w:t>
            </w:r>
            <w:proofErr w:type="spellEnd"/>
            <w:r w:rsidRPr="002E7B57">
              <w:rPr>
                <w:rFonts w:ascii="Arial Narrow" w:hAnsi="Arial Narrow"/>
              </w:rPr>
              <w:t>)</w:t>
            </w:r>
          </w:p>
        </w:tc>
        <w:tc>
          <w:tcPr>
            <w:tcW w:w="993" w:type="dxa"/>
            <w:shd w:val="clear" w:color="auto" w:fill="auto"/>
          </w:tcPr>
          <w:p w:rsidR="004657F4" w:rsidRPr="002E7B57" w:rsidRDefault="004657F4" w:rsidP="00E127E0">
            <w:pPr>
              <w:jc w:val="center"/>
              <w:rPr>
                <w:rFonts w:ascii="Arial Narrow" w:hAnsi="Arial Narrow"/>
              </w:rPr>
            </w:pPr>
            <w:r w:rsidRPr="002E7B57">
              <w:rPr>
                <w:rFonts w:ascii="Arial Narrow" w:hAnsi="Arial Narrow"/>
              </w:rPr>
              <w:t>4</w:t>
            </w:r>
          </w:p>
        </w:tc>
        <w:tc>
          <w:tcPr>
            <w:tcW w:w="1602" w:type="dxa"/>
          </w:tcPr>
          <w:p w:rsidR="004657F4" w:rsidRPr="002E7B57" w:rsidRDefault="004657F4" w:rsidP="00E127E0">
            <w:pPr>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4</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Talend</w:t>
            </w:r>
            <w:proofErr w:type="spellEnd"/>
            <w:r w:rsidRPr="002E7B57">
              <w:rPr>
                <w:rFonts w:ascii="Arial Narrow" w:hAnsi="Arial Narrow"/>
              </w:rPr>
              <w:t xml:space="preserve"> </w:t>
            </w:r>
            <w:proofErr w:type="spellStart"/>
            <w:r w:rsidRPr="002E7B57">
              <w:rPr>
                <w:rFonts w:ascii="Arial Narrow" w:hAnsi="Arial Narrow"/>
              </w:rPr>
              <w:t>Platform</w:t>
            </w:r>
            <w:proofErr w:type="spellEnd"/>
            <w:r w:rsidRPr="002E7B57">
              <w:rPr>
                <w:rFonts w:ascii="Arial Narrow" w:hAnsi="Arial Narrow"/>
              </w:rPr>
              <w:t xml:space="preserve"> – MDM </w:t>
            </w:r>
            <w:proofErr w:type="spellStart"/>
            <w:r w:rsidRPr="002E7B57">
              <w:rPr>
                <w:rFonts w:ascii="Arial Narrow" w:hAnsi="Arial Narrow"/>
              </w:rPr>
              <w:t>Production</w:t>
            </w:r>
            <w:proofErr w:type="spellEnd"/>
            <w:r w:rsidRPr="002E7B57">
              <w:rPr>
                <w:rFonts w:ascii="Arial Narrow" w:hAnsi="Arial Narrow"/>
              </w:rPr>
              <w:t xml:space="preserve"> </w:t>
            </w:r>
            <w:proofErr w:type="spellStart"/>
            <w:r w:rsidRPr="002E7B57">
              <w:rPr>
                <w:rFonts w:ascii="Arial Narrow" w:hAnsi="Arial Narrow"/>
              </w:rPr>
              <w:t>Runtime</w:t>
            </w:r>
            <w:proofErr w:type="spellEnd"/>
            <w:r w:rsidRPr="002E7B57">
              <w:rPr>
                <w:rFonts w:ascii="Arial Narrow" w:hAnsi="Arial Narrow"/>
              </w:rPr>
              <w:t xml:space="preserve"> – per </w:t>
            </w:r>
            <w:proofErr w:type="spellStart"/>
            <w:r w:rsidRPr="002E7B57">
              <w:rPr>
                <w:rFonts w:ascii="Arial Narrow" w:hAnsi="Arial Narrow"/>
              </w:rPr>
              <w:t>Core</w:t>
            </w:r>
            <w:proofErr w:type="spellEnd"/>
            <w:r w:rsidRPr="002E7B57">
              <w:rPr>
                <w:rFonts w:ascii="Arial Narrow" w:hAnsi="Arial Narrow"/>
              </w:rPr>
              <w:t xml:space="preserve"> </w:t>
            </w:r>
            <w:proofErr w:type="spellStart"/>
            <w:r w:rsidRPr="002E7B57">
              <w:rPr>
                <w:rFonts w:ascii="Arial Narrow" w:hAnsi="Arial Narrow"/>
              </w:rPr>
              <w:t>limitation</w:t>
            </w:r>
            <w:proofErr w:type="spellEnd"/>
            <w:r w:rsidRPr="002E7B57">
              <w:rPr>
                <w:rFonts w:ascii="Arial Narrow" w:hAnsi="Arial Narrow"/>
              </w:rPr>
              <w:t xml:space="preserve"> (4 </w:t>
            </w:r>
            <w:proofErr w:type="spellStart"/>
            <w:r w:rsidRPr="002E7B57">
              <w:rPr>
                <w:rFonts w:ascii="Arial Narrow" w:hAnsi="Arial Narrow"/>
              </w:rPr>
              <w:t>Cores</w:t>
            </w:r>
            <w:proofErr w:type="spellEnd"/>
            <w:r w:rsidRPr="002E7B57">
              <w:rPr>
                <w:rFonts w:ascii="Arial Narrow" w:hAnsi="Arial Narrow"/>
              </w:rPr>
              <w:t xml:space="preserve">) – </w:t>
            </w:r>
            <w:proofErr w:type="spellStart"/>
            <w:r w:rsidRPr="002E7B57">
              <w:rPr>
                <w:rFonts w:ascii="Arial Narrow" w:hAnsi="Arial Narrow"/>
              </w:rPr>
              <w:t>incl</w:t>
            </w:r>
            <w:proofErr w:type="spellEnd"/>
            <w:r w:rsidRPr="002E7B57">
              <w:rPr>
                <w:rFonts w:ascii="Arial Narrow" w:hAnsi="Arial Narrow"/>
              </w:rPr>
              <w:t xml:space="preserve">. </w:t>
            </w:r>
            <w:proofErr w:type="spellStart"/>
            <w:r w:rsidRPr="002E7B57">
              <w:rPr>
                <w:rFonts w:ascii="Arial Narrow" w:hAnsi="Arial Narrow"/>
              </w:rPr>
              <w:t>Platinum</w:t>
            </w:r>
            <w:proofErr w:type="spellEnd"/>
            <w:r w:rsidRPr="002E7B57">
              <w:rPr>
                <w:rFonts w:ascii="Arial Narrow" w:hAnsi="Arial Narrow"/>
              </w:rPr>
              <w:t xml:space="preserve"> </w:t>
            </w:r>
            <w:proofErr w:type="spellStart"/>
            <w:r w:rsidRPr="002E7B57">
              <w:rPr>
                <w:rFonts w:ascii="Arial Narrow" w:hAnsi="Arial Narrow"/>
              </w:rPr>
              <w:t>Support</w:t>
            </w:r>
            <w:proofErr w:type="spellEnd"/>
            <w:r w:rsidRPr="002E7B57">
              <w:rPr>
                <w:rFonts w:ascii="Arial Narrow" w:hAnsi="Arial Narrow"/>
              </w:rPr>
              <w:t xml:space="preserve">  </w:t>
            </w:r>
            <w:proofErr w:type="spellStart"/>
            <w:r w:rsidRPr="002E7B57">
              <w:rPr>
                <w:rFonts w:ascii="Arial Narrow" w:hAnsi="Arial Narrow"/>
              </w:rPr>
              <w:t>Services</w:t>
            </w:r>
            <w:proofErr w:type="spellEnd"/>
          </w:p>
        </w:tc>
        <w:tc>
          <w:tcPr>
            <w:tcW w:w="993" w:type="dxa"/>
            <w:shd w:val="clear" w:color="auto" w:fill="auto"/>
            <w:vAlign w:val="center"/>
          </w:tcPr>
          <w:p w:rsidR="004657F4" w:rsidRPr="002E7B57" w:rsidRDefault="004657F4" w:rsidP="00E127E0">
            <w:pPr>
              <w:jc w:val="center"/>
              <w:rPr>
                <w:rFonts w:ascii="Arial Narrow" w:hAnsi="Arial Narrow"/>
              </w:rPr>
            </w:pPr>
            <w:r w:rsidRPr="002E7B57">
              <w:rPr>
                <w:rFonts w:ascii="Arial Narrow" w:hAnsi="Arial Narrow"/>
              </w:rPr>
              <w:t>7</w:t>
            </w:r>
          </w:p>
        </w:tc>
        <w:tc>
          <w:tcPr>
            <w:tcW w:w="1602" w:type="dxa"/>
            <w:vAlign w:val="center"/>
          </w:tcPr>
          <w:p w:rsidR="004657F4" w:rsidRPr="002E7B57" w:rsidRDefault="004657F4" w:rsidP="00E127E0">
            <w:pPr>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5</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Talend</w:t>
            </w:r>
            <w:proofErr w:type="spellEnd"/>
            <w:r w:rsidRPr="002E7B57">
              <w:rPr>
                <w:rFonts w:ascii="Arial Narrow" w:hAnsi="Arial Narrow"/>
              </w:rPr>
              <w:t xml:space="preserve"> </w:t>
            </w:r>
            <w:proofErr w:type="spellStart"/>
            <w:r w:rsidRPr="002E7B57">
              <w:rPr>
                <w:rFonts w:ascii="Arial Narrow" w:hAnsi="Arial Narrow"/>
              </w:rPr>
              <w:t>Platform</w:t>
            </w:r>
            <w:proofErr w:type="spellEnd"/>
            <w:r w:rsidRPr="002E7B57">
              <w:rPr>
                <w:rFonts w:ascii="Arial Narrow" w:hAnsi="Arial Narrow"/>
              </w:rPr>
              <w:t xml:space="preserve"> – MDM </w:t>
            </w:r>
            <w:proofErr w:type="spellStart"/>
            <w:r w:rsidRPr="002E7B57">
              <w:rPr>
                <w:rFonts w:ascii="Arial Narrow" w:hAnsi="Arial Narrow"/>
              </w:rPr>
              <w:t>Non-Production</w:t>
            </w:r>
            <w:proofErr w:type="spellEnd"/>
            <w:r w:rsidRPr="002E7B57">
              <w:rPr>
                <w:rFonts w:ascii="Arial Narrow" w:hAnsi="Arial Narrow"/>
              </w:rPr>
              <w:t xml:space="preserve"> </w:t>
            </w:r>
            <w:proofErr w:type="spellStart"/>
            <w:r w:rsidRPr="002E7B57">
              <w:rPr>
                <w:rFonts w:ascii="Arial Narrow" w:hAnsi="Arial Narrow"/>
              </w:rPr>
              <w:t>Runtime</w:t>
            </w:r>
            <w:proofErr w:type="spellEnd"/>
            <w:r w:rsidRPr="002E7B57">
              <w:rPr>
                <w:rFonts w:ascii="Arial Narrow" w:hAnsi="Arial Narrow"/>
              </w:rPr>
              <w:t xml:space="preserve">- per </w:t>
            </w:r>
            <w:proofErr w:type="spellStart"/>
            <w:r w:rsidRPr="002E7B57">
              <w:rPr>
                <w:rFonts w:ascii="Arial Narrow" w:hAnsi="Arial Narrow"/>
              </w:rPr>
              <w:t>Core</w:t>
            </w:r>
            <w:proofErr w:type="spellEnd"/>
            <w:r w:rsidRPr="002E7B57">
              <w:rPr>
                <w:rFonts w:ascii="Arial Narrow" w:hAnsi="Arial Narrow"/>
              </w:rPr>
              <w:t xml:space="preserve"> </w:t>
            </w:r>
            <w:proofErr w:type="spellStart"/>
            <w:r w:rsidRPr="002E7B57">
              <w:rPr>
                <w:rFonts w:ascii="Arial Narrow" w:hAnsi="Arial Narrow"/>
              </w:rPr>
              <w:t>Limitation</w:t>
            </w:r>
            <w:proofErr w:type="spellEnd"/>
            <w:r w:rsidRPr="002E7B57">
              <w:rPr>
                <w:rFonts w:ascii="Arial Narrow" w:hAnsi="Arial Narrow"/>
              </w:rPr>
              <w:t xml:space="preserve"> (4 </w:t>
            </w:r>
            <w:proofErr w:type="spellStart"/>
            <w:r w:rsidRPr="002E7B57">
              <w:rPr>
                <w:rFonts w:ascii="Arial Narrow" w:hAnsi="Arial Narrow"/>
              </w:rPr>
              <w:t>Cores</w:t>
            </w:r>
            <w:proofErr w:type="spellEnd"/>
            <w:r w:rsidRPr="002E7B57">
              <w:rPr>
                <w:rFonts w:ascii="Arial Narrow" w:hAnsi="Arial Narrow"/>
              </w:rPr>
              <w:t xml:space="preserve">) – </w:t>
            </w:r>
            <w:proofErr w:type="spellStart"/>
            <w:r w:rsidRPr="002E7B57">
              <w:rPr>
                <w:rFonts w:ascii="Arial Narrow" w:hAnsi="Arial Narrow"/>
              </w:rPr>
              <w:t>incl</w:t>
            </w:r>
            <w:proofErr w:type="spellEnd"/>
            <w:r w:rsidRPr="002E7B57">
              <w:rPr>
                <w:rFonts w:ascii="Arial Narrow" w:hAnsi="Arial Narrow"/>
              </w:rPr>
              <w:t xml:space="preserve">. </w:t>
            </w:r>
            <w:proofErr w:type="spellStart"/>
            <w:r w:rsidRPr="002E7B57">
              <w:rPr>
                <w:rFonts w:ascii="Arial Narrow" w:hAnsi="Arial Narrow"/>
              </w:rPr>
              <w:t>Platinum</w:t>
            </w:r>
            <w:proofErr w:type="spellEnd"/>
            <w:r w:rsidRPr="002E7B57">
              <w:rPr>
                <w:rFonts w:ascii="Arial Narrow" w:hAnsi="Arial Narrow"/>
              </w:rPr>
              <w:t xml:space="preserve"> </w:t>
            </w:r>
          </w:p>
          <w:p w:rsidR="004657F4" w:rsidRPr="002E7B57" w:rsidRDefault="004657F4" w:rsidP="00E127E0">
            <w:pPr>
              <w:rPr>
                <w:rFonts w:ascii="Arial Narrow" w:hAnsi="Arial Narrow"/>
              </w:rPr>
            </w:pPr>
            <w:proofErr w:type="spellStart"/>
            <w:r w:rsidRPr="002E7B57">
              <w:rPr>
                <w:rFonts w:ascii="Arial Narrow" w:hAnsi="Arial Narrow"/>
              </w:rPr>
              <w:t>Support</w:t>
            </w:r>
            <w:proofErr w:type="spellEnd"/>
          </w:p>
        </w:tc>
        <w:tc>
          <w:tcPr>
            <w:tcW w:w="993" w:type="dxa"/>
            <w:shd w:val="clear" w:color="auto" w:fill="auto"/>
            <w:vAlign w:val="center"/>
          </w:tcPr>
          <w:p w:rsidR="004657F4" w:rsidRPr="002E7B57" w:rsidRDefault="004657F4" w:rsidP="00E127E0">
            <w:pPr>
              <w:ind w:right="3"/>
              <w:jc w:val="center"/>
              <w:rPr>
                <w:rFonts w:ascii="Arial Narrow" w:hAnsi="Arial Narrow"/>
              </w:rPr>
            </w:pPr>
            <w:r w:rsidRPr="002E7B57">
              <w:rPr>
                <w:rFonts w:ascii="Arial Narrow" w:hAnsi="Arial Narrow"/>
              </w:rPr>
              <w:t>11</w:t>
            </w:r>
          </w:p>
        </w:tc>
        <w:tc>
          <w:tcPr>
            <w:tcW w:w="1602" w:type="dxa"/>
            <w:vAlign w:val="center"/>
          </w:tcPr>
          <w:p w:rsidR="004657F4" w:rsidRPr="002E7B57" w:rsidRDefault="004657F4" w:rsidP="00E127E0">
            <w:pPr>
              <w:ind w:right="3"/>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6</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Data</w:t>
            </w:r>
            <w:proofErr w:type="spellEnd"/>
            <w:r w:rsidRPr="002E7B57">
              <w:rPr>
                <w:rFonts w:ascii="Arial Narrow" w:hAnsi="Arial Narrow"/>
              </w:rPr>
              <w:t xml:space="preserve"> </w:t>
            </w:r>
            <w:proofErr w:type="spellStart"/>
            <w:r w:rsidRPr="002E7B57">
              <w:rPr>
                <w:rFonts w:ascii="Arial Narrow" w:hAnsi="Arial Narrow"/>
              </w:rPr>
              <w:t>Services</w:t>
            </w:r>
            <w:proofErr w:type="spellEnd"/>
            <w:r w:rsidRPr="002E7B57">
              <w:rPr>
                <w:rFonts w:ascii="Arial Narrow" w:hAnsi="Arial Narrow"/>
              </w:rPr>
              <w:t xml:space="preserve"> </w:t>
            </w:r>
            <w:proofErr w:type="spellStart"/>
            <w:r w:rsidRPr="002E7B57">
              <w:rPr>
                <w:rFonts w:ascii="Arial Narrow" w:hAnsi="Arial Narrow"/>
              </w:rPr>
              <w:t>Platform</w:t>
            </w:r>
            <w:proofErr w:type="spellEnd"/>
            <w:r w:rsidRPr="002E7B57">
              <w:rPr>
                <w:rFonts w:ascii="Arial Narrow" w:hAnsi="Arial Narrow"/>
              </w:rPr>
              <w:t xml:space="preserve"> </w:t>
            </w:r>
            <w:proofErr w:type="spellStart"/>
            <w:r w:rsidRPr="002E7B57">
              <w:rPr>
                <w:rFonts w:ascii="Arial Narrow" w:hAnsi="Arial Narrow"/>
              </w:rPr>
              <w:t>Production</w:t>
            </w:r>
            <w:proofErr w:type="spellEnd"/>
            <w:r w:rsidRPr="002E7B57">
              <w:rPr>
                <w:rFonts w:ascii="Arial Narrow" w:hAnsi="Arial Narrow"/>
              </w:rPr>
              <w:t xml:space="preserve"> </w:t>
            </w:r>
            <w:proofErr w:type="spellStart"/>
            <w:r w:rsidRPr="002E7B57">
              <w:rPr>
                <w:rFonts w:ascii="Arial Narrow" w:hAnsi="Arial Narrow"/>
              </w:rPr>
              <w:t>Runtime</w:t>
            </w:r>
            <w:proofErr w:type="spellEnd"/>
            <w:r w:rsidRPr="002E7B57">
              <w:rPr>
                <w:rFonts w:ascii="Arial Narrow" w:hAnsi="Arial Narrow"/>
              </w:rPr>
              <w:t xml:space="preserve"> – per </w:t>
            </w:r>
            <w:proofErr w:type="spellStart"/>
            <w:r w:rsidRPr="002E7B57">
              <w:rPr>
                <w:rFonts w:ascii="Arial Narrow" w:hAnsi="Arial Narrow"/>
              </w:rPr>
              <w:t>Core</w:t>
            </w:r>
            <w:proofErr w:type="spellEnd"/>
            <w:r w:rsidRPr="002E7B57">
              <w:rPr>
                <w:rFonts w:ascii="Arial Narrow" w:hAnsi="Arial Narrow"/>
              </w:rPr>
              <w:t xml:space="preserve"> </w:t>
            </w:r>
            <w:proofErr w:type="spellStart"/>
            <w:r w:rsidRPr="002E7B57">
              <w:rPr>
                <w:rFonts w:ascii="Arial Narrow" w:hAnsi="Arial Narrow"/>
              </w:rPr>
              <w:t>Limitation</w:t>
            </w:r>
            <w:proofErr w:type="spellEnd"/>
            <w:r w:rsidRPr="002E7B57">
              <w:rPr>
                <w:rFonts w:ascii="Arial Narrow" w:hAnsi="Arial Narrow"/>
              </w:rPr>
              <w:t xml:space="preserve"> (4 </w:t>
            </w:r>
            <w:proofErr w:type="spellStart"/>
            <w:r w:rsidRPr="002E7B57">
              <w:rPr>
                <w:rFonts w:ascii="Arial Narrow" w:hAnsi="Arial Narrow"/>
              </w:rPr>
              <w:t>Cores</w:t>
            </w:r>
            <w:proofErr w:type="spellEnd"/>
            <w:r w:rsidRPr="002E7B57">
              <w:rPr>
                <w:rFonts w:ascii="Arial Narrow" w:hAnsi="Arial Narrow"/>
              </w:rPr>
              <w:t xml:space="preserve">) </w:t>
            </w:r>
            <w:proofErr w:type="spellStart"/>
            <w:r w:rsidRPr="002E7B57">
              <w:rPr>
                <w:rFonts w:ascii="Arial Narrow" w:hAnsi="Arial Narrow"/>
              </w:rPr>
              <w:t>incl</w:t>
            </w:r>
            <w:proofErr w:type="spellEnd"/>
            <w:r w:rsidRPr="002E7B57">
              <w:rPr>
                <w:rFonts w:ascii="Arial Narrow" w:hAnsi="Arial Narrow"/>
              </w:rPr>
              <w:t xml:space="preserve">. </w:t>
            </w:r>
            <w:proofErr w:type="spellStart"/>
            <w:r w:rsidRPr="002E7B57">
              <w:rPr>
                <w:rFonts w:ascii="Arial Narrow" w:hAnsi="Arial Narrow"/>
              </w:rPr>
              <w:t>Platinum</w:t>
            </w:r>
            <w:proofErr w:type="spellEnd"/>
            <w:r w:rsidRPr="002E7B57">
              <w:rPr>
                <w:rFonts w:ascii="Arial Narrow" w:hAnsi="Arial Narrow"/>
              </w:rPr>
              <w:t xml:space="preserve"> </w:t>
            </w:r>
            <w:proofErr w:type="spellStart"/>
            <w:r w:rsidRPr="002E7B57">
              <w:rPr>
                <w:rFonts w:ascii="Arial Narrow" w:hAnsi="Arial Narrow"/>
              </w:rPr>
              <w:t>Support</w:t>
            </w:r>
            <w:proofErr w:type="spellEnd"/>
            <w:r w:rsidRPr="002E7B57">
              <w:rPr>
                <w:rFonts w:ascii="Arial Narrow" w:hAnsi="Arial Narrow"/>
              </w:rPr>
              <w:t xml:space="preserve"> </w:t>
            </w:r>
          </w:p>
          <w:p w:rsidR="004657F4" w:rsidRPr="002E7B57" w:rsidRDefault="004657F4" w:rsidP="00E127E0">
            <w:pPr>
              <w:rPr>
                <w:rFonts w:ascii="Arial Narrow" w:hAnsi="Arial Narrow"/>
              </w:rPr>
            </w:pPr>
            <w:proofErr w:type="spellStart"/>
            <w:r w:rsidRPr="002E7B57">
              <w:rPr>
                <w:rFonts w:ascii="Arial Narrow" w:hAnsi="Arial Narrow"/>
              </w:rPr>
              <w:t>Services</w:t>
            </w:r>
            <w:proofErr w:type="spellEnd"/>
          </w:p>
        </w:tc>
        <w:tc>
          <w:tcPr>
            <w:tcW w:w="993" w:type="dxa"/>
            <w:shd w:val="clear" w:color="auto" w:fill="auto"/>
            <w:vAlign w:val="center"/>
          </w:tcPr>
          <w:p w:rsidR="004657F4" w:rsidRPr="002E7B57" w:rsidRDefault="004657F4" w:rsidP="00E127E0">
            <w:pPr>
              <w:ind w:right="3"/>
              <w:jc w:val="center"/>
              <w:rPr>
                <w:rFonts w:ascii="Arial Narrow" w:hAnsi="Arial Narrow"/>
              </w:rPr>
            </w:pPr>
            <w:r w:rsidRPr="002E7B57">
              <w:rPr>
                <w:rFonts w:ascii="Arial Narrow" w:hAnsi="Arial Narrow"/>
              </w:rPr>
              <w:t>10</w:t>
            </w:r>
          </w:p>
        </w:tc>
        <w:tc>
          <w:tcPr>
            <w:tcW w:w="1602" w:type="dxa"/>
            <w:vAlign w:val="center"/>
          </w:tcPr>
          <w:p w:rsidR="004657F4" w:rsidRPr="002E7B57" w:rsidRDefault="004657F4" w:rsidP="00E127E0">
            <w:pPr>
              <w:ind w:right="3"/>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7</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Data</w:t>
            </w:r>
            <w:proofErr w:type="spellEnd"/>
            <w:r w:rsidRPr="002E7B57">
              <w:rPr>
                <w:rFonts w:ascii="Arial Narrow" w:hAnsi="Arial Narrow"/>
              </w:rPr>
              <w:t xml:space="preserve"> </w:t>
            </w:r>
            <w:proofErr w:type="spellStart"/>
            <w:r w:rsidRPr="002E7B57">
              <w:rPr>
                <w:rFonts w:ascii="Arial Narrow" w:hAnsi="Arial Narrow"/>
              </w:rPr>
              <w:t>Services</w:t>
            </w:r>
            <w:proofErr w:type="spellEnd"/>
            <w:r w:rsidRPr="002E7B57">
              <w:rPr>
                <w:rFonts w:ascii="Arial Narrow" w:hAnsi="Arial Narrow"/>
              </w:rPr>
              <w:t xml:space="preserve"> </w:t>
            </w:r>
            <w:proofErr w:type="spellStart"/>
            <w:r w:rsidRPr="002E7B57">
              <w:rPr>
                <w:rFonts w:ascii="Arial Narrow" w:hAnsi="Arial Narrow"/>
              </w:rPr>
              <w:t>Platform</w:t>
            </w:r>
            <w:proofErr w:type="spellEnd"/>
            <w:r w:rsidRPr="002E7B57">
              <w:rPr>
                <w:rFonts w:ascii="Arial Narrow" w:hAnsi="Arial Narrow"/>
              </w:rPr>
              <w:t xml:space="preserve"> </w:t>
            </w:r>
            <w:proofErr w:type="spellStart"/>
            <w:r w:rsidRPr="002E7B57">
              <w:rPr>
                <w:rFonts w:ascii="Arial Narrow" w:hAnsi="Arial Narrow"/>
              </w:rPr>
              <w:t>Non-Production</w:t>
            </w:r>
            <w:proofErr w:type="spellEnd"/>
            <w:r w:rsidRPr="002E7B57">
              <w:rPr>
                <w:rFonts w:ascii="Arial Narrow" w:hAnsi="Arial Narrow"/>
              </w:rPr>
              <w:t xml:space="preserve"> </w:t>
            </w:r>
            <w:proofErr w:type="spellStart"/>
            <w:r w:rsidRPr="002E7B57">
              <w:rPr>
                <w:rFonts w:ascii="Arial Narrow" w:hAnsi="Arial Narrow"/>
              </w:rPr>
              <w:t>Runtime</w:t>
            </w:r>
            <w:proofErr w:type="spellEnd"/>
            <w:r w:rsidRPr="002E7B57">
              <w:rPr>
                <w:rFonts w:ascii="Arial Narrow" w:hAnsi="Arial Narrow"/>
              </w:rPr>
              <w:t xml:space="preserve"> – per </w:t>
            </w:r>
            <w:proofErr w:type="spellStart"/>
            <w:r w:rsidRPr="002E7B57">
              <w:rPr>
                <w:rFonts w:ascii="Arial Narrow" w:hAnsi="Arial Narrow"/>
              </w:rPr>
              <w:t>Core</w:t>
            </w:r>
            <w:proofErr w:type="spellEnd"/>
            <w:r w:rsidRPr="002E7B57">
              <w:rPr>
                <w:rFonts w:ascii="Arial Narrow" w:hAnsi="Arial Narrow"/>
              </w:rPr>
              <w:t xml:space="preserve"> </w:t>
            </w:r>
            <w:proofErr w:type="spellStart"/>
            <w:r w:rsidRPr="002E7B57">
              <w:rPr>
                <w:rFonts w:ascii="Arial Narrow" w:hAnsi="Arial Narrow"/>
              </w:rPr>
              <w:t>Limitation</w:t>
            </w:r>
            <w:proofErr w:type="spellEnd"/>
            <w:r w:rsidRPr="002E7B57">
              <w:rPr>
                <w:rFonts w:ascii="Arial Narrow" w:hAnsi="Arial Narrow"/>
              </w:rPr>
              <w:t xml:space="preserve"> (4 </w:t>
            </w:r>
            <w:proofErr w:type="spellStart"/>
            <w:r w:rsidRPr="002E7B57">
              <w:rPr>
                <w:rFonts w:ascii="Arial Narrow" w:hAnsi="Arial Narrow"/>
              </w:rPr>
              <w:t>Cores</w:t>
            </w:r>
            <w:proofErr w:type="spellEnd"/>
            <w:r w:rsidRPr="002E7B57">
              <w:rPr>
                <w:rFonts w:ascii="Arial Narrow" w:hAnsi="Arial Narrow"/>
              </w:rPr>
              <w:t xml:space="preserve">) – </w:t>
            </w:r>
            <w:proofErr w:type="spellStart"/>
            <w:r w:rsidRPr="002E7B57">
              <w:rPr>
                <w:rFonts w:ascii="Arial Narrow" w:hAnsi="Arial Narrow"/>
              </w:rPr>
              <w:t>incl</w:t>
            </w:r>
            <w:proofErr w:type="spellEnd"/>
            <w:r w:rsidRPr="002E7B57">
              <w:rPr>
                <w:rFonts w:ascii="Arial Narrow" w:hAnsi="Arial Narrow"/>
              </w:rPr>
              <w:t xml:space="preserve">. </w:t>
            </w:r>
            <w:proofErr w:type="spellStart"/>
            <w:r w:rsidRPr="002E7B57">
              <w:rPr>
                <w:rFonts w:ascii="Arial Narrow" w:hAnsi="Arial Narrow"/>
              </w:rPr>
              <w:t>Platinum</w:t>
            </w:r>
            <w:proofErr w:type="spellEnd"/>
            <w:r w:rsidRPr="002E7B57">
              <w:rPr>
                <w:rFonts w:ascii="Arial Narrow" w:hAnsi="Arial Narrow"/>
              </w:rPr>
              <w:t xml:space="preserve"> </w:t>
            </w:r>
          </w:p>
          <w:p w:rsidR="004657F4" w:rsidRPr="002E7B57" w:rsidRDefault="004657F4" w:rsidP="00E127E0">
            <w:pPr>
              <w:rPr>
                <w:rFonts w:ascii="Arial Narrow" w:hAnsi="Arial Narrow"/>
              </w:rPr>
            </w:pPr>
            <w:proofErr w:type="spellStart"/>
            <w:r w:rsidRPr="002E7B57">
              <w:rPr>
                <w:rFonts w:ascii="Arial Narrow" w:hAnsi="Arial Narrow"/>
              </w:rPr>
              <w:t>Support</w:t>
            </w:r>
            <w:proofErr w:type="spellEnd"/>
            <w:r w:rsidRPr="002E7B57">
              <w:rPr>
                <w:rFonts w:ascii="Arial Narrow" w:hAnsi="Arial Narrow"/>
              </w:rPr>
              <w:t xml:space="preserve"> </w:t>
            </w:r>
            <w:proofErr w:type="spellStart"/>
            <w:r w:rsidRPr="002E7B57">
              <w:rPr>
                <w:rFonts w:ascii="Arial Narrow" w:hAnsi="Arial Narrow"/>
              </w:rPr>
              <w:t>Services</w:t>
            </w:r>
            <w:proofErr w:type="spellEnd"/>
          </w:p>
        </w:tc>
        <w:tc>
          <w:tcPr>
            <w:tcW w:w="993" w:type="dxa"/>
            <w:shd w:val="clear" w:color="auto" w:fill="auto"/>
            <w:vAlign w:val="center"/>
          </w:tcPr>
          <w:p w:rsidR="004657F4" w:rsidRPr="002E7B57" w:rsidRDefault="004657F4" w:rsidP="00E127E0">
            <w:pPr>
              <w:ind w:right="3"/>
              <w:jc w:val="center"/>
              <w:rPr>
                <w:rFonts w:ascii="Arial Narrow" w:hAnsi="Arial Narrow"/>
              </w:rPr>
            </w:pPr>
            <w:r w:rsidRPr="002E7B57">
              <w:rPr>
                <w:rFonts w:ascii="Arial Narrow" w:hAnsi="Arial Narrow"/>
              </w:rPr>
              <w:t>12</w:t>
            </w:r>
          </w:p>
        </w:tc>
        <w:tc>
          <w:tcPr>
            <w:tcW w:w="1602" w:type="dxa"/>
            <w:vAlign w:val="center"/>
          </w:tcPr>
          <w:p w:rsidR="004657F4" w:rsidRPr="002E7B57" w:rsidRDefault="004657F4" w:rsidP="00E127E0">
            <w:pPr>
              <w:ind w:right="3"/>
              <w:jc w:val="center"/>
              <w:rPr>
                <w:rFonts w:ascii="Arial Narrow" w:hAnsi="Arial Narrow"/>
              </w:rPr>
            </w:pPr>
          </w:p>
        </w:tc>
      </w:tr>
      <w:tr w:rsidR="004657F4" w:rsidRPr="002E7B57" w:rsidTr="00E127E0">
        <w:trPr>
          <w:jc w:val="center"/>
        </w:trPr>
        <w:tc>
          <w:tcPr>
            <w:tcW w:w="848" w:type="dxa"/>
            <w:vAlign w:val="center"/>
          </w:tcPr>
          <w:p w:rsidR="004657F4" w:rsidRPr="002E7B57" w:rsidRDefault="004657F4" w:rsidP="00E127E0">
            <w:pPr>
              <w:jc w:val="center"/>
              <w:rPr>
                <w:rFonts w:ascii="Arial Narrow" w:hAnsi="Arial Narrow"/>
              </w:rPr>
            </w:pPr>
            <w:r w:rsidRPr="002E7B57">
              <w:rPr>
                <w:rFonts w:ascii="Arial Narrow" w:hAnsi="Arial Narrow"/>
              </w:rPr>
              <w:t>8</w:t>
            </w:r>
          </w:p>
        </w:tc>
        <w:tc>
          <w:tcPr>
            <w:tcW w:w="6052" w:type="dxa"/>
            <w:shd w:val="clear" w:color="auto" w:fill="auto"/>
          </w:tcPr>
          <w:p w:rsidR="004657F4" w:rsidRPr="002E7B57" w:rsidRDefault="004657F4" w:rsidP="00E127E0">
            <w:pPr>
              <w:rPr>
                <w:rFonts w:ascii="Arial Narrow" w:hAnsi="Arial Narrow"/>
              </w:rPr>
            </w:pPr>
            <w:proofErr w:type="spellStart"/>
            <w:r w:rsidRPr="002E7B57">
              <w:rPr>
                <w:rFonts w:ascii="Arial Narrow" w:hAnsi="Arial Narrow"/>
              </w:rPr>
              <w:t>Talend</w:t>
            </w:r>
            <w:proofErr w:type="spellEnd"/>
            <w:r w:rsidRPr="002E7B57">
              <w:rPr>
                <w:rFonts w:ascii="Arial Narrow" w:hAnsi="Arial Narrow"/>
              </w:rPr>
              <w:t xml:space="preserve"> </w:t>
            </w:r>
            <w:proofErr w:type="spellStart"/>
            <w:r w:rsidRPr="002E7B57">
              <w:rPr>
                <w:rFonts w:ascii="Arial Narrow" w:hAnsi="Arial Narrow"/>
              </w:rPr>
              <w:t>MetaData</w:t>
            </w:r>
            <w:proofErr w:type="spellEnd"/>
            <w:r w:rsidRPr="002E7B57">
              <w:rPr>
                <w:rFonts w:ascii="Arial Narrow" w:hAnsi="Arial Narrow"/>
              </w:rPr>
              <w:t xml:space="preserve"> Manager – </w:t>
            </w:r>
            <w:proofErr w:type="spellStart"/>
            <w:r w:rsidRPr="002E7B57">
              <w:rPr>
                <w:rFonts w:ascii="Arial Narrow" w:hAnsi="Arial Narrow"/>
              </w:rPr>
              <w:t>incl</w:t>
            </w:r>
            <w:proofErr w:type="spellEnd"/>
            <w:r w:rsidRPr="002E7B57">
              <w:rPr>
                <w:rFonts w:ascii="Arial Narrow" w:hAnsi="Arial Narrow"/>
              </w:rPr>
              <w:t xml:space="preserve">. 5 </w:t>
            </w:r>
            <w:proofErr w:type="spellStart"/>
            <w:r w:rsidRPr="002E7B57">
              <w:rPr>
                <w:rFonts w:ascii="Arial Narrow" w:hAnsi="Arial Narrow"/>
              </w:rPr>
              <w:t>Named</w:t>
            </w:r>
            <w:proofErr w:type="spellEnd"/>
            <w:r w:rsidRPr="002E7B57">
              <w:rPr>
                <w:rFonts w:ascii="Arial Narrow" w:hAnsi="Arial Narrow"/>
              </w:rPr>
              <w:t xml:space="preserve"> </w:t>
            </w:r>
            <w:proofErr w:type="spellStart"/>
            <w:r w:rsidRPr="002E7B57">
              <w:rPr>
                <w:rFonts w:ascii="Arial Narrow" w:hAnsi="Arial Narrow"/>
              </w:rPr>
              <w:t>Users</w:t>
            </w:r>
            <w:proofErr w:type="spellEnd"/>
          </w:p>
        </w:tc>
        <w:tc>
          <w:tcPr>
            <w:tcW w:w="993" w:type="dxa"/>
            <w:shd w:val="clear" w:color="auto" w:fill="auto"/>
          </w:tcPr>
          <w:p w:rsidR="004657F4" w:rsidRPr="002E7B57" w:rsidRDefault="004657F4" w:rsidP="00E127E0">
            <w:pPr>
              <w:jc w:val="center"/>
              <w:rPr>
                <w:rFonts w:ascii="Arial Narrow" w:hAnsi="Arial Narrow"/>
              </w:rPr>
            </w:pPr>
            <w:r w:rsidRPr="002E7B57">
              <w:rPr>
                <w:rFonts w:ascii="Arial Narrow" w:hAnsi="Arial Narrow"/>
              </w:rPr>
              <w:t>1</w:t>
            </w:r>
          </w:p>
        </w:tc>
        <w:tc>
          <w:tcPr>
            <w:tcW w:w="1602" w:type="dxa"/>
          </w:tcPr>
          <w:p w:rsidR="004657F4" w:rsidRPr="002E7B57" w:rsidRDefault="004657F4" w:rsidP="00E127E0">
            <w:pPr>
              <w:jc w:val="center"/>
              <w:rPr>
                <w:rFonts w:ascii="Arial Narrow" w:hAnsi="Arial Narrow"/>
              </w:rPr>
            </w:pPr>
          </w:p>
        </w:tc>
      </w:tr>
    </w:tbl>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pStyle w:val="Pta"/>
        <w:tabs>
          <w:tab w:val="clear" w:pos="4536"/>
          <w:tab w:val="clear" w:pos="9072"/>
          <w:tab w:val="center" w:pos="1440"/>
          <w:tab w:val="center" w:pos="7560"/>
        </w:tabs>
        <w:spacing w:before="240" w:after="60"/>
        <w:ind w:right="29"/>
        <w:jc w:val="both"/>
        <w:rPr>
          <w:rFonts w:ascii="Arial Narrow" w:hAnsi="Arial Narrow" w:cs="Calibri"/>
          <w:lang w:val="sk-SK"/>
        </w:rPr>
      </w:pPr>
    </w:p>
    <w:p w:rsidR="004657F4" w:rsidRPr="002E7B57" w:rsidRDefault="004657F4" w:rsidP="004657F4">
      <w:pPr>
        <w:jc w:val="center"/>
        <w:rPr>
          <w:rFonts w:ascii="Arial Narrow" w:hAnsi="Arial Narrow" w:cs="Calibri"/>
          <w:b/>
          <w:bCs/>
        </w:rPr>
      </w:pPr>
      <w:r w:rsidRPr="002E7B57">
        <w:rPr>
          <w:rFonts w:ascii="Arial Narrow" w:hAnsi="Arial Narrow" w:cs="Calibri"/>
          <w:b/>
          <w:bCs/>
        </w:rPr>
        <w:lastRenderedPageBreak/>
        <w:t xml:space="preserve">Príloha č. 2 </w:t>
      </w:r>
    </w:p>
    <w:p w:rsidR="004657F4" w:rsidRPr="002E7B57" w:rsidRDefault="004657F4" w:rsidP="004657F4">
      <w:pPr>
        <w:jc w:val="center"/>
        <w:rPr>
          <w:rFonts w:ascii="Arial Narrow" w:hAnsi="Arial Narrow" w:cs="Calibri"/>
          <w:b/>
          <w:bCs/>
        </w:rPr>
      </w:pPr>
    </w:p>
    <w:p w:rsidR="004657F4" w:rsidRPr="002E7B57" w:rsidRDefault="004657F4" w:rsidP="004657F4">
      <w:pPr>
        <w:ind w:left="360" w:hanging="360"/>
        <w:jc w:val="center"/>
        <w:rPr>
          <w:rFonts w:ascii="Arial Narrow" w:hAnsi="Arial Narrow" w:cs="Calibri"/>
          <w:b/>
          <w:bCs/>
        </w:rPr>
      </w:pPr>
      <w:r w:rsidRPr="002E7B57">
        <w:rPr>
          <w:rFonts w:ascii="Arial Narrow" w:hAnsi="Arial Narrow" w:cs="Calibri"/>
          <w:b/>
          <w:bCs/>
        </w:rPr>
        <w:t>k CENTRÁLNEJ RÁMCOVEJ ZLMUVE NA DODÁVKU LICENCIÍ A LICENČNEJ PODPORY TALEND</w:t>
      </w:r>
      <w:r w:rsidRPr="002E7B57" w:rsidDel="00F544CD">
        <w:rPr>
          <w:rFonts w:ascii="Arial Narrow" w:hAnsi="Arial Narrow" w:cs="Calibri"/>
          <w:b/>
          <w:bCs/>
        </w:rPr>
        <w:t xml:space="preserve"> </w:t>
      </w:r>
      <w:r w:rsidRPr="002E7B57">
        <w:rPr>
          <w:rFonts w:ascii="Arial Narrow" w:hAnsi="Arial Narrow" w:cs="Calibri"/>
          <w:b/>
          <w:bCs/>
        </w:rPr>
        <w:t>č. 2018/117</w:t>
      </w:r>
    </w:p>
    <w:p w:rsidR="004657F4" w:rsidRPr="002E7B57" w:rsidRDefault="004657F4" w:rsidP="004657F4">
      <w:pPr>
        <w:jc w:val="center"/>
        <w:rPr>
          <w:rFonts w:ascii="Arial Narrow" w:hAnsi="Arial Narrow" w:cs="Calibri"/>
          <w:b/>
          <w:bCs/>
        </w:rPr>
      </w:pPr>
    </w:p>
    <w:p w:rsidR="004657F4" w:rsidRPr="002E7B57" w:rsidRDefault="004657F4" w:rsidP="004657F4">
      <w:pPr>
        <w:jc w:val="center"/>
        <w:rPr>
          <w:rFonts w:ascii="Arial Narrow" w:hAnsi="Arial Narrow" w:cs="Calibri"/>
        </w:rPr>
      </w:pPr>
      <w:r w:rsidRPr="002E7B57">
        <w:rPr>
          <w:rFonts w:ascii="Arial Narrow" w:hAnsi="Arial Narrow" w:cs="Calibri"/>
        </w:rPr>
        <w:t xml:space="preserve">medzi </w:t>
      </w:r>
      <w:r w:rsidRPr="002E7B57">
        <w:rPr>
          <w:rFonts w:ascii="Arial Narrow" w:hAnsi="Arial Narrow"/>
        </w:rPr>
        <w:t>Ministerstvom financií Slovenskej republiky</w:t>
      </w:r>
      <w:r w:rsidRPr="002E7B57">
        <w:rPr>
          <w:rFonts w:ascii="Arial Narrow" w:hAnsi="Arial Narrow" w:cs="Calibri"/>
        </w:rPr>
        <w:t xml:space="preserve"> a </w:t>
      </w:r>
      <w:r w:rsidRPr="002E7B57">
        <w:rPr>
          <w:rFonts w:ascii="Arial Narrow" w:hAnsi="Arial Narrow"/>
          <w:i/>
        </w:rPr>
        <w:t xml:space="preserve">&lt; </w:t>
      </w:r>
      <w:r w:rsidRPr="002E7B57">
        <w:rPr>
          <w:rFonts w:ascii="Arial Narrow" w:hAnsi="Arial Narrow" w:cs="Calibri"/>
          <w:i/>
        </w:rPr>
        <w:t>doplní sa víťaz &gt;</w:t>
      </w:r>
    </w:p>
    <w:p w:rsidR="004657F4" w:rsidRPr="002E7B57" w:rsidRDefault="004657F4" w:rsidP="004657F4">
      <w:pPr>
        <w:rPr>
          <w:rFonts w:ascii="Arial Narrow" w:hAnsi="Arial Narrow" w:cs="Calibri"/>
          <w:lang w:eastAsia="x-none"/>
        </w:rPr>
      </w:pPr>
    </w:p>
    <w:p w:rsidR="004657F4" w:rsidRPr="002E7B57" w:rsidRDefault="004657F4" w:rsidP="004657F4">
      <w:pPr>
        <w:jc w:val="center"/>
        <w:rPr>
          <w:rFonts w:ascii="Arial Narrow" w:hAnsi="Arial Narrow" w:cs="Calibri"/>
          <w:b/>
          <w:sz w:val="24"/>
          <w:lang w:eastAsia="x-none"/>
        </w:rPr>
      </w:pPr>
      <w:r w:rsidRPr="002E7B57">
        <w:rPr>
          <w:rFonts w:ascii="Arial Narrow" w:hAnsi="Arial Narrow" w:cs="Calibri"/>
          <w:b/>
          <w:sz w:val="24"/>
          <w:lang w:eastAsia="x-none"/>
        </w:rPr>
        <w:t>Zoznam oprávnených subjektov štátnej a verejnej správy</w:t>
      </w:r>
    </w:p>
    <w:p w:rsidR="004657F4" w:rsidRPr="002E7B57" w:rsidRDefault="004657F4" w:rsidP="004657F4">
      <w:pPr>
        <w:jc w:val="center"/>
        <w:rPr>
          <w:rFonts w:ascii="Arial Narrow" w:hAnsi="Arial Narrow" w:cs="Calibri"/>
          <w:b/>
          <w:sz w:val="24"/>
          <w:lang w:eastAsia="x-none"/>
        </w:rPr>
      </w:pPr>
    </w:p>
    <w:p w:rsidR="004657F4" w:rsidRPr="002E7B57" w:rsidRDefault="004657F4" w:rsidP="004657F4">
      <w:pPr>
        <w:spacing w:after="120"/>
        <w:rPr>
          <w:rFonts w:ascii="Arial Narrow" w:hAnsi="Arial Narrow" w:cs="Calibri"/>
          <w:lang w:eastAsia="x-none"/>
        </w:rPr>
      </w:pPr>
      <w:r w:rsidRPr="00BE29F5">
        <w:rPr>
          <w:rFonts w:ascii="Arial Narrow" w:hAnsi="Arial Narrow" w:cs="Calibri"/>
          <w:lang w:eastAsia="x-none"/>
        </w:rPr>
        <w:t>Centrálna rámcová dohoda na dodávku licencií a licenčnej podpory TALEND</w:t>
      </w:r>
      <w:r w:rsidRPr="00BE29F5" w:rsidDel="00BE29F5">
        <w:rPr>
          <w:rFonts w:ascii="Arial Narrow" w:hAnsi="Arial Narrow" w:cs="Calibri"/>
          <w:lang w:eastAsia="x-none"/>
        </w:rPr>
        <w:t xml:space="preserve"> </w:t>
      </w:r>
      <w:r w:rsidRPr="002E7B57">
        <w:rPr>
          <w:rFonts w:ascii="Arial Narrow" w:hAnsi="Arial Narrow" w:cs="Calibri"/>
          <w:lang w:eastAsia="x-none"/>
        </w:rPr>
        <w:t xml:space="preserve">je určená pre nasledovné subjekty štátnej a verejnej správy Slovenskej republiky: </w:t>
      </w:r>
    </w:p>
    <w:p w:rsidR="004657F4" w:rsidRPr="002E7B57" w:rsidRDefault="004657F4" w:rsidP="004657F4">
      <w:pPr>
        <w:spacing w:after="60"/>
        <w:jc w:val="both"/>
        <w:rPr>
          <w:rFonts w:ascii="Arial Narrow" w:hAnsi="Arial Narrow" w:cs="Calibri"/>
          <w:lang w:eastAsia="x-none"/>
        </w:rPr>
      </w:pPr>
      <w:r w:rsidRPr="002E7B57">
        <w:rPr>
          <w:rFonts w:ascii="Arial Narrow" w:hAnsi="Arial Narrow" w:cs="Calibri"/>
          <w:lang w:eastAsia="x-none"/>
        </w:rPr>
        <w:t>Organizácie súhrnného celku verejnej správy zostavujúce konsolidovanú účtovnú závierku a organizácie v ich zriaďovateľskej pôsobnosti:</w:t>
      </w:r>
    </w:p>
    <w:p w:rsidR="004657F4" w:rsidRPr="002E7B57" w:rsidRDefault="004657F4" w:rsidP="004657F4">
      <w:pPr>
        <w:rPr>
          <w:rFonts w:ascii="Arial Narrow" w:hAnsi="Arial Narrow" w:cs="Calibri"/>
          <w:lang w:eastAsia="x-none"/>
        </w:rPr>
      </w:pPr>
    </w:p>
    <w:p w:rsidR="004657F4" w:rsidRPr="002E7B57" w:rsidRDefault="004657F4" w:rsidP="004657F4">
      <w:pPr>
        <w:rPr>
          <w:rFonts w:ascii="Arial Narrow" w:hAnsi="Arial Narrow" w:cs="Calibri"/>
          <w:lang w:eastAsia="x-none"/>
        </w:rPr>
      </w:pPr>
    </w:p>
    <w:p w:rsidR="004657F4" w:rsidRPr="002E7B57" w:rsidRDefault="004657F4" w:rsidP="004657F4">
      <w:pPr>
        <w:rPr>
          <w:rFonts w:ascii="Arial Narrow" w:hAnsi="Arial Narrow" w:cs="Calibri"/>
          <w:lang w:eastAsia="x-none"/>
        </w:rPr>
        <w:sectPr w:rsidR="004657F4" w:rsidRPr="002E7B57" w:rsidSect="00A84477">
          <w:footerReference w:type="default" r:id="rId6"/>
          <w:pgSz w:w="11906" w:h="16838"/>
          <w:pgMar w:top="1077" w:right="1077" w:bottom="1077" w:left="1077" w:header="567" w:footer="567" w:gutter="0"/>
          <w:cols w:space="708"/>
          <w:titlePg/>
          <w:docGrid w:linePitch="360"/>
        </w:sectPr>
      </w:pP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Generálna prokuratúra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dopravy, výstavby a regionálneho rozvoja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financií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hospodárstva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kultúry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obrany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práce, sociálnych vecí a rodiny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pôdohospodárstva a rozvoja vidieka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spravodlivosti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školstva, vedy, výskumu a športu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vnútra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zahraničných vecí a európskych záležitostí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zdravotníctva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Ministerstvo životného prostredia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Najvyšší súd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Slovenská akadémia vied</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vlády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Štatistický úrad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geodézie, kartografie a katastra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pre normalizáciu, metrológiu a skúšobníctvo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podpredsedu vlády Slovenskej republiky pre investície a informatizáciu.</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Správa štátnych hmotných rezerv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Bratislavský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Trnavský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Trenčiansky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Nitriansky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Banskobystrický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Žilinský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Prešovský samosprávny kraj</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Košický samosprávny kraj</w:t>
      </w: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Default="004657F4" w:rsidP="004657F4">
      <w:pPr>
        <w:rPr>
          <w:rFonts w:ascii="Arial Narrow" w:hAnsi="Arial Narrow" w:cs="Calibri"/>
          <w:lang w:eastAsia="x-none"/>
        </w:rPr>
      </w:pPr>
    </w:p>
    <w:p w:rsidR="004657F4" w:rsidRPr="002E7B57" w:rsidRDefault="004657F4" w:rsidP="004657F4">
      <w:pPr>
        <w:rPr>
          <w:rFonts w:ascii="Arial Narrow" w:hAnsi="Arial Narrow" w:cs="Calibri"/>
          <w:lang w:eastAsia="x-none"/>
        </w:rPr>
      </w:pP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Ostatné organizácie súhrnného celku verejnej správy:</w:t>
      </w:r>
    </w:p>
    <w:p w:rsidR="004657F4" w:rsidRPr="002E7B57" w:rsidRDefault="004657F4" w:rsidP="004657F4">
      <w:pPr>
        <w:rPr>
          <w:rFonts w:ascii="Arial Narrow" w:hAnsi="Arial Narrow" w:cs="Calibri"/>
          <w:lang w:eastAsia="x-none"/>
        </w:rPr>
      </w:pP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Kancelária Národnej rady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Kancelária prezidenta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Kancelária Ústavného súdu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Kancelária Najvyššieho súdu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Kancelária verejného ochrancu práv</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Kancelária Súdnej rady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na ochranu osobných údajov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Národný bezpečnostný úrad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Najvyšší kontrolný úrad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Protimonopolný úrad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Slovenská informačná služba</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jadrového dozoru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pre reguláciu sieťových odvetví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pre verejné obstarávanie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Úrad priemyselného vlastníctva SR</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Sociálna poisťovňa</w:t>
      </w:r>
    </w:p>
    <w:p w:rsidR="004657F4" w:rsidRPr="002E7B57" w:rsidRDefault="004657F4" w:rsidP="004657F4">
      <w:pPr>
        <w:rPr>
          <w:rFonts w:ascii="Arial Narrow" w:hAnsi="Arial Narrow" w:cs="Calibri"/>
          <w:lang w:eastAsia="x-none"/>
        </w:rPr>
      </w:pPr>
      <w:r w:rsidRPr="002E7B57">
        <w:rPr>
          <w:rFonts w:ascii="Arial Narrow" w:hAnsi="Arial Narrow" w:cs="Calibri"/>
          <w:lang w:eastAsia="x-none"/>
        </w:rPr>
        <w:t xml:space="preserve">Všeobecná zdravotná poisťovňa, </w:t>
      </w:r>
      <w:proofErr w:type="spellStart"/>
      <w:r w:rsidRPr="002E7B57">
        <w:rPr>
          <w:rFonts w:ascii="Arial Narrow" w:hAnsi="Arial Narrow" w:cs="Calibri"/>
          <w:lang w:eastAsia="x-none"/>
        </w:rPr>
        <w:t>a.s</w:t>
      </w:r>
      <w:proofErr w:type="spellEnd"/>
      <w:r w:rsidRPr="002E7B57">
        <w:rPr>
          <w:rFonts w:ascii="Arial Narrow" w:hAnsi="Arial Narrow" w:cs="Calibri"/>
          <w:lang w:eastAsia="x-none"/>
        </w:rPr>
        <w:t>.</w:t>
      </w:r>
    </w:p>
    <w:p w:rsidR="004657F4" w:rsidRPr="002E7B57" w:rsidRDefault="004657F4" w:rsidP="004657F4">
      <w:pPr>
        <w:rPr>
          <w:rFonts w:ascii="Arial Narrow" w:hAnsi="Arial Narrow" w:cs="Calibri"/>
          <w:lang w:eastAsia="x-none"/>
        </w:rPr>
        <w:sectPr w:rsidR="004657F4" w:rsidRPr="002E7B57" w:rsidSect="00DA2766">
          <w:type w:val="continuous"/>
          <w:pgSz w:w="11906" w:h="16838"/>
          <w:pgMar w:top="1077" w:right="1077" w:bottom="1077" w:left="1077" w:header="567" w:footer="567" w:gutter="0"/>
          <w:cols w:num="2" w:space="708"/>
          <w:docGrid w:linePitch="360"/>
        </w:sectPr>
      </w:pPr>
    </w:p>
    <w:p w:rsidR="004657F4" w:rsidRDefault="004657F4" w:rsidP="004657F4">
      <w:pPr>
        <w:jc w:val="center"/>
        <w:rPr>
          <w:rFonts w:ascii="Arial Narrow" w:hAnsi="Arial Narrow" w:cs="Calibri"/>
          <w:b/>
          <w:bCs/>
        </w:rPr>
      </w:pPr>
    </w:p>
    <w:p w:rsidR="004657F4" w:rsidRPr="002E7B57" w:rsidRDefault="004657F4" w:rsidP="004657F4">
      <w:pPr>
        <w:jc w:val="center"/>
        <w:rPr>
          <w:rFonts w:ascii="Arial Narrow" w:hAnsi="Arial Narrow" w:cs="Calibri"/>
          <w:b/>
          <w:bCs/>
        </w:rPr>
      </w:pPr>
      <w:r w:rsidRPr="002E7B57">
        <w:rPr>
          <w:rFonts w:ascii="Arial Narrow" w:hAnsi="Arial Narrow" w:cs="Calibri"/>
          <w:b/>
          <w:bCs/>
        </w:rPr>
        <w:t xml:space="preserve">Príloha č. </w:t>
      </w:r>
      <w:r>
        <w:rPr>
          <w:rFonts w:ascii="Arial Narrow" w:hAnsi="Arial Narrow" w:cs="Calibri"/>
          <w:b/>
          <w:bCs/>
        </w:rPr>
        <w:t>3</w:t>
      </w:r>
      <w:r w:rsidRPr="002E7B57">
        <w:rPr>
          <w:rFonts w:ascii="Arial Narrow" w:hAnsi="Arial Narrow" w:cs="Calibri"/>
          <w:b/>
          <w:bCs/>
        </w:rPr>
        <w:t xml:space="preserve"> </w:t>
      </w:r>
    </w:p>
    <w:p w:rsidR="004657F4" w:rsidRPr="002E7B57" w:rsidRDefault="004657F4" w:rsidP="004657F4">
      <w:pPr>
        <w:jc w:val="center"/>
        <w:rPr>
          <w:rFonts w:ascii="Arial Narrow" w:hAnsi="Arial Narrow" w:cs="Calibri"/>
          <w:b/>
          <w:bCs/>
        </w:rPr>
      </w:pPr>
    </w:p>
    <w:p w:rsidR="004657F4" w:rsidRPr="002E7B57" w:rsidRDefault="004657F4" w:rsidP="004657F4">
      <w:pPr>
        <w:ind w:left="360" w:hanging="360"/>
        <w:jc w:val="center"/>
        <w:rPr>
          <w:rFonts w:ascii="Arial Narrow" w:hAnsi="Arial Narrow" w:cs="Calibri"/>
          <w:b/>
          <w:bCs/>
        </w:rPr>
      </w:pPr>
      <w:r w:rsidRPr="002E7B57">
        <w:rPr>
          <w:rFonts w:ascii="Arial Narrow" w:hAnsi="Arial Narrow" w:cs="Calibri"/>
          <w:b/>
          <w:bCs/>
        </w:rPr>
        <w:t>k CENTRÁLNEJ RÁMCOVEJ DOHODE NA DODÁVKU LICENCIÍ A LICENČNEJ PODPORY TALEND</w:t>
      </w:r>
      <w:r w:rsidRPr="002E7B57" w:rsidDel="00F544CD">
        <w:rPr>
          <w:rFonts w:ascii="Arial Narrow" w:hAnsi="Arial Narrow" w:cs="Calibri"/>
          <w:b/>
          <w:bCs/>
        </w:rPr>
        <w:t xml:space="preserve"> </w:t>
      </w:r>
      <w:r w:rsidRPr="002E7B57">
        <w:rPr>
          <w:rFonts w:ascii="Arial Narrow" w:hAnsi="Arial Narrow" w:cs="Calibri"/>
          <w:b/>
          <w:bCs/>
        </w:rPr>
        <w:t>č. 2018/117</w:t>
      </w:r>
    </w:p>
    <w:p w:rsidR="004657F4" w:rsidRPr="002E7B57" w:rsidRDefault="004657F4" w:rsidP="004657F4">
      <w:pPr>
        <w:jc w:val="center"/>
        <w:rPr>
          <w:rFonts w:ascii="Arial Narrow" w:hAnsi="Arial Narrow" w:cs="Calibri"/>
        </w:rPr>
      </w:pPr>
      <w:r w:rsidRPr="002E7B57">
        <w:rPr>
          <w:rFonts w:ascii="Arial Narrow" w:hAnsi="Arial Narrow" w:cs="Calibri"/>
        </w:rPr>
        <w:t xml:space="preserve">medzi </w:t>
      </w:r>
      <w:r w:rsidRPr="002E7B57">
        <w:rPr>
          <w:rFonts w:ascii="Arial Narrow" w:hAnsi="Arial Narrow"/>
        </w:rPr>
        <w:t>Ministerstvo financií Slovenskej republiky</w:t>
      </w:r>
      <w:r w:rsidRPr="002E7B57">
        <w:rPr>
          <w:rFonts w:ascii="Arial Narrow" w:hAnsi="Arial Narrow" w:cs="Calibri"/>
        </w:rPr>
        <w:t xml:space="preserve"> a </w:t>
      </w:r>
      <w:r w:rsidRPr="002E7B57">
        <w:rPr>
          <w:rFonts w:ascii="Arial Narrow" w:hAnsi="Arial Narrow"/>
          <w:i/>
        </w:rPr>
        <w:t xml:space="preserve">&lt; </w:t>
      </w:r>
      <w:r w:rsidRPr="002E7B57">
        <w:rPr>
          <w:rFonts w:ascii="Arial Narrow" w:hAnsi="Arial Narrow" w:cs="Calibri"/>
          <w:i/>
        </w:rPr>
        <w:t>doplní sa víťaz &gt;</w:t>
      </w:r>
    </w:p>
    <w:p w:rsidR="004657F4" w:rsidRDefault="004657F4" w:rsidP="004657F4">
      <w:pPr>
        <w:tabs>
          <w:tab w:val="clear" w:pos="2160"/>
          <w:tab w:val="clear" w:pos="2880"/>
          <w:tab w:val="clear" w:pos="4500"/>
        </w:tabs>
        <w:rPr>
          <w:rFonts w:ascii="Arial Narrow" w:hAnsi="Arial Narrow" w:cs="Arial"/>
        </w:rPr>
      </w:pPr>
    </w:p>
    <w:p w:rsidR="004657F4" w:rsidRDefault="004657F4" w:rsidP="004657F4">
      <w:pPr>
        <w:tabs>
          <w:tab w:val="clear" w:pos="2160"/>
          <w:tab w:val="clear" w:pos="2880"/>
          <w:tab w:val="clear" w:pos="4500"/>
        </w:tabs>
        <w:rPr>
          <w:rFonts w:ascii="Arial Narrow" w:hAnsi="Arial Narrow" w:cs="Arial"/>
        </w:rPr>
      </w:pPr>
    </w:p>
    <w:p w:rsidR="00F15264" w:rsidRPr="004657F4" w:rsidRDefault="004657F4" w:rsidP="004657F4">
      <w:r w:rsidRPr="009567B2">
        <w:rPr>
          <w:rFonts w:ascii="Arial Narrow" w:hAnsi="Arial Narrow" w:cs="Arial"/>
          <w:b/>
        </w:rPr>
        <w:t>Potvrdenie vlastníka licencií, ktorým sa preukazuje oprávnenosť  dodávať licencie/</w:t>
      </w:r>
    </w:p>
    <w:sectPr w:rsidR="00F15264" w:rsidRPr="00465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687" w:rsidRPr="003A6DCF" w:rsidRDefault="004657F4">
    <w:pPr>
      <w:pStyle w:val="Pta"/>
      <w:tabs>
        <w:tab w:val="clear" w:pos="4536"/>
        <w:tab w:val="clear" w:pos="9072"/>
        <w:tab w:val="center" w:pos="5220"/>
        <w:tab w:val="left" w:pos="9000"/>
      </w:tabs>
      <w:ind w:right="32"/>
      <w:rPr>
        <w:sz w:val="16"/>
        <w:szCs w:val="16"/>
        <w:lang w:val="sk-SK"/>
      </w:rPr>
    </w:pPr>
    <w:r w:rsidRPr="003A6DCF">
      <w:rPr>
        <w:sz w:val="16"/>
        <w:szCs w:val="16"/>
        <w:lang w:val="sk-SK"/>
      </w:rPr>
      <w:tab/>
      <w:t xml:space="preserve">strana </w:t>
    </w:r>
    <w:r w:rsidRPr="003A6DCF">
      <w:rPr>
        <w:rStyle w:val="slostrany"/>
        <w:sz w:val="16"/>
        <w:szCs w:val="16"/>
        <w:lang w:val="sk-SK"/>
      </w:rPr>
      <w:fldChar w:fldCharType="begin"/>
    </w:r>
    <w:r w:rsidRPr="003A6DCF">
      <w:rPr>
        <w:rStyle w:val="slostrany"/>
        <w:sz w:val="16"/>
        <w:szCs w:val="16"/>
        <w:lang w:val="sk-SK"/>
      </w:rPr>
      <w:instrText xml:space="preserve"> PAGE </w:instrText>
    </w:r>
    <w:r w:rsidRPr="003A6DCF">
      <w:rPr>
        <w:rStyle w:val="slostrany"/>
        <w:sz w:val="16"/>
        <w:szCs w:val="16"/>
        <w:lang w:val="sk-SK"/>
      </w:rPr>
      <w:fldChar w:fldCharType="separate"/>
    </w:r>
    <w:r>
      <w:rPr>
        <w:rStyle w:val="slostrany"/>
        <w:sz w:val="16"/>
        <w:szCs w:val="16"/>
        <w:lang w:val="sk-SK"/>
      </w:rPr>
      <w:t>12</w:t>
    </w:r>
    <w:r w:rsidRPr="003A6DCF">
      <w:rPr>
        <w:rStyle w:val="slostrany"/>
        <w:sz w:val="16"/>
        <w:szCs w:val="16"/>
        <w:lang w:val="sk-SK"/>
      </w:rPr>
      <w:fldChar w:fldCharType="end"/>
    </w:r>
    <w:r w:rsidRPr="003A6DCF">
      <w:rPr>
        <w:rStyle w:val="slostrany"/>
        <w:sz w:val="16"/>
        <w:szCs w:val="16"/>
        <w:lang w:val="sk-SK"/>
      </w:rPr>
      <w:t>/</w:t>
    </w:r>
    <w:r w:rsidRPr="003A6DCF">
      <w:rPr>
        <w:rStyle w:val="slostrany"/>
        <w:sz w:val="16"/>
        <w:szCs w:val="16"/>
        <w:lang w:val="sk-SK"/>
      </w:rPr>
      <w:fldChar w:fldCharType="begin"/>
    </w:r>
    <w:r w:rsidRPr="003A6DCF">
      <w:rPr>
        <w:rStyle w:val="slostrany"/>
        <w:sz w:val="16"/>
        <w:szCs w:val="16"/>
        <w:lang w:val="sk-SK"/>
      </w:rPr>
      <w:instrText xml:space="preserve"> NUMPAGES </w:instrText>
    </w:r>
    <w:r w:rsidRPr="003A6DCF">
      <w:rPr>
        <w:rStyle w:val="slostrany"/>
        <w:sz w:val="16"/>
        <w:szCs w:val="16"/>
        <w:lang w:val="sk-SK"/>
      </w:rPr>
      <w:fldChar w:fldCharType="separate"/>
    </w:r>
    <w:r>
      <w:rPr>
        <w:rStyle w:val="slostrany"/>
        <w:sz w:val="16"/>
        <w:szCs w:val="16"/>
        <w:lang w:val="sk-SK"/>
      </w:rPr>
      <w:t>12</w:t>
    </w:r>
    <w:r w:rsidRPr="003A6DCF">
      <w:rPr>
        <w:rStyle w:val="slostrany"/>
        <w:sz w:val="16"/>
        <w:szCs w:val="16"/>
        <w:lang w:val="sk-SK"/>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2084C81"/>
    <w:multiLevelType w:val="multilevel"/>
    <w:tmpl w:val="434879EC"/>
    <w:lvl w:ilvl="0">
      <w:start w:val="1"/>
      <w:numFmt w:val="decimal"/>
      <w:lvlText w:val="%1."/>
      <w:lvlJc w:val="left"/>
      <w:pPr>
        <w:ind w:left="1069" w:hanging="1069"/>
      </w:pPr>
      <w:rPr>
        <w:rFonts w:cs="Times New Roman" w:hint="default"/>
      </w:rPr>
    </w:lvl>
    <w:lvl w:ilvl="1">
      <w:start w:val="1"/>
      <w:numFmt w:val="decimal"/>
      <w:lvlText w:val="%1.%2."/>
      <w:lvlJc w:val="left"/>
      <w:pPr>
        <w:ind w:left="1069" w:hanging="1069"/>
      </w:pPr>
      <w:rPr>
        <w:rFonts w:cs="Times New Roman" w:hint="default"/>
        <w:strike w:val="0"/>
      </w:rPr>
    </w:lvl>
    <w:lvl w:ilvl="2">
      <w:start w:val="1"/>
      <w:numFmt w:val="decimal"/>
      <w:lvlText w:val="%1.%2.%3."/>
      <w:lvlJc w:val="left"/>
      <w:pPr>
        <w:ind w:left="2847" w:hanging="1429"/>
      </w:pPr>
      <w:rPr>
        <w:rFonts w:cs="Times New Roman" w:hint="default"/>
      </w:rPr>
    </w:lvl>
    <w:lvl w:ilvl="3">
      <w:start w:val="1"/>
      <w:numFmt w:val="decimal"/>
      <w:lvlText w:val="%1.%2.%3.%4."/>
      <w:lvlJc w:val="left"/>
      <w:pPr>
        <w:ind w:left="3556" w:hanging="1429"/>
      </w:pPr>
      <w:rPr>
        <w:rFonts w:cs="Times New Roman" w:hint="default"/>
      </w:rPr>
    </w:lvl>
    <w:lvl w:ilvl="4">
      <w:start w:val="1"/>
      <w:numFmt w:val="decimal"/>
      <w:lvlText w:val="%1.%2.%3.%4.%5."/>
      <w:lvlJc w:val="left"/>
      <w:pPr>
        <w:ind w:left="4625" w:hanging="1789"/>
      </w:pPr>
      <w:rPr>
        <w:rFonts w:cs="Times New Roman" w:hint="default"/>
      </w:rPr>
    </w:lvl>
    <w:lvl w:ilvl="5">
      <w:start w:val="1"/>
      <w:numFmt w:val="decimal"/>
      <w:lvlText w:val="%1.%2.%3.%4.%5.%6."/>
      <w:lvlJc w:val="left"/>
      <w:pPr>
        <w:ind w:left="5334" w:hanging="1789"/>
      </w:pPr>
      <w:rPr>
        <w:rFonts w:cs="Times New Roman" w:hint="default"/>
      </w:rPr>
    </w:lvl>
    <w:lvl w:ilvl="6">
      <w:start w:val="1"/>
      <w:numFmt w:val="decimal"/>
      <w:lvlText w:val="%1.%2.%3.%4.%5.%6.%7."/>
      <w:lvlJc w:val="left"/>
      <w:pPr>
        <w:ind w:left="6403" w:hanging="2149"/>
      </w:pPr>
      <w:rPr>
        <w:rFonts w:cs="Times New Roman" w:hint="default"/>
      </w:rPr>
    </w:lvl>
    <w:lvl w:ilvl="7">
      <w:start w:val="1"/>
      <w:numFmt w:val="decimal"/>
      <w:lvlText w:val="%1.%2.%3.%4.%5.%6.%7.%8."/>
      <w:lvlJc w:val="left"/>
      <w:pPr>
        <w:ind w:left="7112" w:hanging="2149"/>
      </w:pPr>
      <w:rPr>
        <w:rFonts w:cs="Times New Roman" w:hint="default"/>
      </w:rPr>
    </w:lvl>
    <w:lvl w:ilvl="8">
      <w:start w:val="1"/>
      <w:numFmt w:val="decimal"/>
      <w:lvlText w:val="%1.%2.%3.%4.%5.%6.%7.%8.%9."/>
      <w:lvlJc w:val="left"/>
      <w:pPr>
        <w:ind w:left="8181" w:hanging="2509"/>
      </w:pPr>
      <w:rPr>
        <w:rFonts w:cs="Times New Roman" w:hint="default"/>
      </w:rPr>
    </w:lvl>
  </w:abstractNum>
  <w:abstractNum w:abstractNumId="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8B76686"/>
    <w:multiLevelType w:val="hybridMultilevel"/>
    <w:tmpl w:val="4DA63C52"/>
    <w:lvl w:ilvl="0" w:tplc="700E3DD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 w15:restartNumberingAfterBreak="0">
    <w:nsid w:val="5D1F3262"/>
    <w:multiLevelType w:val="multilevel"/>
    <w:tmpl w:val="9000F84C"/>
    <w:lvl w:ilvl="0">
      <w:start w:val="5"/>
      <w:numFmt w:val="decimal"/>
      <w:lvlText w:val="%1."/>
      <w:lvlJc w:val="left"/>
      <w:pPr>
        <w:ind w:left="1069" w:hanging="1069"/>
      </w:pPr>
      <w:rPr>
        <w:rFonts w:cs="Times New Roman" w:hint="default"/>
      </w:rPr>
    </w:lvl>
    <w:lvl w:ilvl="1">
      <w:start w:val="1"/>
      <w:numFmt w:val="decimal"/>
      <w:lvlText w:val="%1.%2."/>
      <w:lvlJc w:val="left"/>
      <w:pPr>
        <w:ind w:left="1069" w:hanging="1069"/>
      </w:pPr>
      <w:rPr>
        <w:rFonts w:cs="Times New Roman" w:hint="default"/>
        <w:strike w:val="0"/>
      </w:rPr>
    </w:lvl>
    <w:lvl w:ilvl="2">
      <w:start w:val="1"/>
      <w:numFmt w:val="decimal"/>
      <w:lvlText w:val="%1.%2.%3."/>
      <w:lvlJc w:val="left"/>
      <w:pPr>
        <w:ind w:left="2847" w:hanging="1429"/>
      </w:pPr>
      <w:rPr>
        <w:rFonts w:cs="Times New Roman" w:hint="default"/>
      </w:rPr>
    </w:lvl>
    <w:lvl w:ilvl="3">
      <w:start w:val="1"/>
      <w:numFmt w:val="decimal"/>
      <w:lvlText w:val="%1.%2.%3.%4."/>
      <w:lvlJc w:val="left"/>
      <w:pPr>
        <w:ind w:left="3556" w:hanging="1429"/>
      </w:pPr>
      <w:rPr>
        <w:rFonts w:cs="Times New Roman" w:hint="default"/>
      </w:rPr>
    </w:lvl>
    <w:lvl w:ilvl="4">
      <w:start w:val="1"/>
      <w:numFmt w:val="decimal"/>
      <w:lvlText w:val="%1.%2.%3.%4.%5."/>
      <w:lvlJc w:val="left"/>
      <w:pPr>
        <w:ind w:left="4625" w:hanging="1789"/>
      </w:pPr>
      <w:rPr>
        <w:rFonts w:cs="Times New Roman" w:hint="default"/>
      </w:rPr>
    </w:lvl>
    <w:lvl w:ilvl="5">
      <w:start w:val="1"/>
      <w:numFmt w:val="decimal"/>
      <w:lvlText w:val="%1.%2.%3.%4.%5.%6."/>
      <w:lvlJc w:val="left"/>
      <w:pPr>
        <w:ind w:left="5334" w:hanging="1789"/>
      </w:pPr>
      <w:rPr>
        <w:rFonts w:cs="Times New Roman" w:hint="default"/>
      </w:rPr>
    </w:lvl>
    <w:lvl w:ilvl="6">
      <w:start w:val="1"/>
      <w:numFmt w:val="decimal"/>
      <w:lvlText w:val="%1.%2.%3.%4.%5.%6.%7."/>
      <w:lvlJc w:val="left"/>
      <w:pPr>
        <w:ind w:left="6403" w:hanging="2149"/>
      </w:pPr>
      <w:rPr>
        <w:rFonts w:cs="Times New Roman" w:hint="default"/>
      </w:rPr>
    </w:lvl>
    <w:lvl w:ilvl="7">
      <w:start w:val="1"/>
      <w:numFmt w:val="decimal"/>
      <w:lvlText w:val="%1.%2.%3.%4.%5.%6.%7.%8."/>
      <w:lvlJc w:val="left"/>
      <w:pPr>
        <w:ind w:left="7112" w:hanging="2149"/>
      </w:pPr>
      <w:rPr>
        <w:rFonts w:cs="Times New Roman" w:hint="default"/>
      </w:rPr>
    </w:lvl>
    <w:lvl w:ilvl="8">
      <w:start w:val="1"/>
      <w:numFmt w:val="decimal"/>
      <w:lvlText w:val="%1.%2.%3.%4.%5.%6.%7.%8.%9."/>
      <w:lvlJc w:val="left"/>
      <w:pPr>
        <w:ind w:left="8181" w:hanging="2509"/>
      </w:pPr>
      <w:rPr>
        <w:rFonts w:cs="Times New Roman" w:hint="default"/>
      </w:rPr>
    </w:lvl>
  </w:abstractNum>
  <w:abstractNum w:abstractNumId="6"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7B7114"/>
    <w:multiLevelType w:val="multilevel"/>
    <w:tmpl w:val="041B001F"/>
    <w:name w:val="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pStyle w:val="Aa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34111C"/>
    <w:multiLevelType w:val="multilevel"/>
    <w:tmpl w:val="D50A6E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0"/>
  </w:num>
  <w:num w:numId="5">
    <w:abstractNumId w:val="2"/>
  </w:num>
  <w:num w:numId="6">
    <w:abstractNumId w:val="8"/>
  </w:num>
  <w:num w:numId="7">
    <w:abstractNumId w:val="9"/>
  </w:num>
  <w:num w:numId="8">
    <w:abstractNumId w:val="4"/>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64"/>
    <w:rsid w:val="00070A47"/>
    <w:rsid w:val="004657F4"/>
    <w:rsid w:val="0075087F"/>
    <w:rsid w:val="0081158D"/>
    <w:rsid w:val="00F15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14A59-EE50-4B46-8CD7-C2FA4E3E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5264"/>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4">
    <w:name w:val="heading 4"/>
    <w:basedOn w:val="Normlny"/>
    <w:next w:val="Normlny"/>
    <w:link w:val="Nadpis4Char"/>
    <w:uiPriority w:val="9"/>
    <w:qFormat/>
    <w:rsid w:val="004657F4"/>
    <w:pPr>
      <w:keepNext/>
      <w:numPr>
        <w:numId w:val="6"/>
      </w:numPr>
      <w:outlineLvl w:val="3"/>
    </w:pPr>
    <w:rPr>
      <w:b/>
      <w:bCs/>
      <w:smallCaps/>
      <w:szCs w:val="22"/>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F15264"/>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526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F15264"/>
    <w:rPr>
      <w:rFonts w:ascii="Arial" w:eastAsia="Times New Roman" w:hAnsi="Arial" w:cs="Times New Roman"/>
      <w:noProof/>
      <w:color w:val="FF0000"/>
      <w:sz w:val="20"/>
      <w:szCs w:val="20"/>
      <w:lang w:eastAsia="sk-SK"/>
    </w:rPr>
  </w:style>
  <w:style w:type="paragraph" w:styleId="Odsekzoznamu">
    <w:name w:val="List Paragraph"/>
    <w:aliases w:val="body,Odsek zoznamu2"/>
    <w:basedOn w:val="Normlny"/>
    <w:link w:val="OdsekzoznamuChar"/>
    <w:uiPriority w:val="34"/>
    <w:qFormat/>
    <w:rsid w:val="00F15264"/>
    <w:pPr>
      <w:ind w:left="708"/>
    </w:pPr>
  </w:style>
  <w:style w:type="character" w:customStyle="1" w:styleId="OdsekzoznamuChar">
    <w:name w:val="Odsek zoznamu Char"/>
    <w:aliases w:val="body Char,Odsek zoznamu2 Char"/>
    <w:basedOn w:val="Predvolenpsmoodseku"/>
    <w:link w:val="Odsekzoznamu"/>
    <w:uiPriority w:val="34"/>
    <w:locked/>
    <w:rsid w:val="00F15264"/>
    <w:rPr>
      <w:rFonts w:ascii="Arial" w:eastAsia="Times New Roman" w:hAnsi="Arial" w:cs="Times New Roman"/>
      <w:sz w:val="20"/>
      <w:szCs w:val="20"/>
      <w:lang w:eastAsia="cs-CZ"/>
    </w:rPr>
  </w:style>
  <w:style w:type="paragraph" w:customStyle="1" w:styleId="Bulletslevel1">
    <w:name w:val="Bullets level 1"/>
    <w:basedOn w:val="Normlny"/>
    <w:link w:val="Bulletslevel1Char"/>
    <w:qFormat/>
    <w:rsid w:val="0081158D"/>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81158D"/>
    <w:rPr>
      <w:rFonts w:ascii="Arial" w:eastAsia="Times New Roman" w:hAnsi="Arial" w:cs="Times New Roman"/>
      <w:color w:val="000000"/>
      <w:sz w:val="19"/>
      <w:szCs w:val="20"/>
      <w:lang w:val="en-GB"/>
    </w:rPr>
  </w:style>
  <w:style w:type="paragraph" w:customStyle="1" w:styleId="ABLOCKPARA">
    <w:name w:val="A BLOCK PARA"/>
    <w:basedOn w:val="Normlny"/>
    <w:rsid w:val="0081158D"/>
    <w:pPr>
      <w:tabs>
        <w:tab w:val="clear" w:pos="2160"/>
        <w:tab w:val="clear" w:pos="2880"/>
        <w:tab w:val="clear" w:pos="4500"/>
      </w:tabs>
      <w:ind w:firstLine="360"/>
    </w:pPr>
    <w:rPr>
      <w:rFonts w:ascii="Book Antiqua" w:hAnsi="Book Antiqua" w:cs="Book Antiqua"/>
      <w:sz w:val="22"/>
      <w:szCs w:val="22"/>
      <w:lang w:val="en-US" w:eastAsia="en-US"/>
    </w:rPr>
  </w:style>
  <w:style w:type="paragraph" w:styleId="Zkladntext">
    <w:name w:val="Body Text"/>
    <w:basedOn w:val="Normlny"/>
    <w:link w:val="ZkladntextChar"/>
    <w:uiPriority w:val="99"/>
    <w:semiHidden/>
    <w:unhideWhenUsed/>
    <w:rsid w:val="004657F4"/>
    <w:pPr>
      <w:spacing w:after="120"/>
    </w:pPr>
  </w:style>
  <w:style w:type="character" w:customStyle="1" w:styleId="ZkladntextChar">
    <w:name w:val="Základný text Char"/>
    <w:basedOn w:val="Predvolenpsmoodseku"/>
    <w:link w:val="Zkladntext"/>
    <w:uiPriority w:val="99"/>
    <w:semiHidden/>
    <w:rsid w:val="004657F4"/>
    <w:rPr>
      <w:rFonts w:ascii="Arial" w:eastAsia="Times New Roman" w:hAnsi="Arial" w:cs="Times New Roman"/>
      <w:sz w:val="20"/>
      <w:szCs w:val="20"/>
      <w:lang w:eastAsia="cs-CZ"/>
    </w:rPr>
  </w:style>
  <w:style w:type="paragraph" w:styleId="Zkladntext2">
    <w:name w:val="Body Text 2"/>
    <w:basedOn w:val="Normlny"/>
    <w:link w:val="Zkladntext2Char"/>
    <w:uiPriority w:val="99"/>
    <w:semiHidden/>
    <w:unhideWhenUsed/>
    <w:rsid w:val="004657F4"/>
    <w:pPr>
      <w:spacing w:after="120" w:line="480" w:lineRule="auto"/>
    </w:pPr>
  </w:style>
  <w:style w:type="character" w:customStyle="1" w:styleId="Zkladntext2Char">
    <w:name w:val="Základný text 2 Char"/>
    <w:basedOn w:val="Predvolenpsmoodseku"/>
    <w:link w:val="Zkladntext2"/>
    <w:uiPriority w:val="99"/>
    <w:semiHidden/>
    <w:rsid w:val="004657F4"/>
    <w:rPr>
      <w:rFonts w:ascii="Arial" w:eastAsia="Times New Roman" w:hAnsi="Arial" w:cs="Times New Roman"/>
      <w:sz w:val="20"/>
      <w:szCs w:val="20"/>
      <w:lang w:eastAsia="cs-CZ"/>
    </w:rPr>
  </w:style>
  <w:style w:type="character" w:customStyle="1" w:styleId="Nadpis4Char">
    <w:name w:val="Nadpis 4 Char"/>
    <w:basedOn w:val="Predvolenpsmoodseku"/>
    <w:link w:val="Nadpis4"/>
    <w:uiPriority w:val="9"/>
    <w:rsid w:val="004657F4"/>
    <w:rPr>
      <w:rFonts w:ascii="Arial" w:eastAsia="Times New Roman" w:hAnsi="Arial" w:cs="Times New Roman"/>
      <w:b/>
      <w:bCs/>
      <w:smallCaps/>
      <w:sz w:val="20"/>
      <w:lang w:val="x-none" w:eastAsia="cs-CZ"/>
    </w:rPr>
  </w:style>
  <w:style w:type="character" w:styleId="Hypertextovprepojenie">
    <w:name w:val="Hyperlink"/>
    <w:uiPriority w:val="99"/>
    <w:rsid w:val="004657F4"/>
    <w:rPr>
      <w:color w:val="0000FF"/>
      <w:u w:val="single"/>
    </w:rPr>
  </w:style>
  <w:style w:type="paragraph" w:styleId="Pta">
    <w:name w:val="footer"/>
    <w:basedOn w:val="Normlny"/>
    <w:link w:val="PtaChar"/>
    <w:uiPriority w:val="99"/>
    <w:rsid w:val="004657F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4657F4"/>
    <w:rPr>
      <w:rFonts w:ascii="Arial" w:eastAsia="Times New Roman" w:hAnsi="Arial" w:cs="Times New Roman"/>
      <w:noProof/>
      <w:sz w:val="20"/>
      <w:szCs w:val="24"/>
      <w:lang w:val="x-none" w:eastAsia="x-none"/>
    </w:rPr>
  </w:style>
  <w:style w:type="character" w:styleId="slostrany">
    <w:name w:val="page number"/>
    <w:basedOn w:val="Predvolenpsmoodseku"/>
    <w:uiPriority w:val="99"/>
    <w:rsid w:val="004657F4"/>
  </w:style>
  <w:style w:type="paragraph" w:customStyle="1" w:styleId="Default">
    <w:name w:val="Default"/>
    <w:rsid w:val="004657F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Aaa">
    <w:name w:val="Aaa"/>
    <w:basedOn w:val="Normlny"/>
    <w:qFormat/>
    <w:rsid w:val="004657F4"/>
    <w:pPr>
      <w:numPr>
        <w:ilvl w:val="1"/>
        <w:numId w:val="6"/>
      </w:numPr>
      <w:tabs>
        <w:tab w:val="clear" w:pos="2160"/>
        <w:tab w:val="clear" w:pos="2880"/>
        <w:tab w:val="clear" w:pos="4500"/>
      </w:tabs>
      <w:jc w:val="both"/>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talend.com/legal-terms/fr-eul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5333</Words>
  <Characters>30403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2</cp:revision>
  <dcterms:created xsi:type="dcterms:W3CDTF">2018-11-28T09:07:00Z</dcterms:created>
  <dcterms:modified xsi:type="dcterms:W3CDTF">2018-11-28T09:07:00Z</dcterms:modified>
</cp:coreProperties>
</file>