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DC" w:rsidRDefault="003435DC" w:rsidP="003435DC">
      <w:pPr>
        <w:tabs>
          <w:tab w:val="left" w:pos="0"/>
          <w:tab w:val="left" w:pos="332"/>
          <w:tab w:val="left" w:pos="365"/>
          <w:tab w:val="left" w:pos="401"/>
          <w:tab w:val="left" w:pos="485"/>
          <w:tab w:val="left" w:pos="533"/>
          <w:tab w:val="left" w:pos="567"/>
          <w:tab w:val="left" w:pos="645"/>
        </w:tabs>
        <w:jc w:val="both"/>
        <w:rPr>
          <w:rStyle w:val="iadneA"/>
          <w:rFonts w:cs="Arial"/>
          <w:b/>
          <w:sz w:val="22"/>
          <w:lang w:val="sk-SK"/>
        </w:rPr>
      </w:pPr>
      <w:bookmarkStart w:id="0" w:name="a7"/>
      <w:bookmarkStart w:id="1" w:name="a8"/>
      <w:bookmarkStart w:id="2" w:name="a"/>
      <w:bookmarkEnd w:id="0"/>
      <w:bookmarkEnd w:id="1"/>
      <w:bookmarkEnd w:id="2"/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</w:r>
      <w:r>
        <w:rPr>
          <w:rStyle w:val="iadneA"/>
          <w:rFonts w:cs="Arial"/>
          <w:b/>
          <w:sz w:val="22"/>
          <w:lang w:val="sk-SK"/>
        </w:rPr>
        <w:tab/>
        <w:t>Príloha č. 1 kúpnej  zmluvy</w:t>
      </w:r>
    </w:p>
    <w:p w:rsidR="003435DC" w:rsidRPr="003435DC" w:rsidRDefault="003435DC" w:rsidP="003435DC">
      <w:pPr>
        <w:rPr>
          <w:rStyle w:val="iadneA"/>
          <w:rFonts w:cs="Arial"/>
          <w:b/>
          <w:sz w:val="24"/>
          <w:szCs w:val="24"/>
          <w:lang w:val="sk-SK"/>
        </w:rPr>
      </w:pPr>
      <w:r>
        <w:rPr>
          <w:rStyle w:val="iadneA"/>
          <w:rFonts w:cs="Arial"/>
          <w:b/>
          <w:sz w:val="22"/>
          <w:lang w:val="sk-SK"/>
        </w:rPr>
        <w:t xml:space="preserve">            </w:t>
      </w:r>
      <w:proofErr w:type="spellStart"/>
      <w:r w:rsidRPr="003435DC">
        <w:rPr>
          <w:rFonts w:ascii="Calibri" w:hAnsi="Calibri" w:cs="Calibri"/>
          <w:b/>
          <w:sz w:val="24"/>
          <w:szCs w:val="24"/>
        </w:rPr>
        <w:t>Technická</w:t>
      </w:r>
      <w:proofErr w:type="spellEnd"/>
      <w:r w:rsidRPr="003435D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435DC">
        <w:rPr>
          <w:rFonts w:ascii="Calibri" w:hAnsi="Calibri" w:cs="Calibri"/>
          <w:b/>
          <w:sz w:val="24"/>
          <w:szCs w:val="24"/>
        </w:rPr>
        <w:t>špecifikácia</w:t>
      </w:r>
      <w:proofErr w:type="spellEnd"/>
      <w:r w:rsidRPr="003435DC">
        <w:rPr>
          <w:rFonts w:ascii="Calibri" w:hAnsi="Calibri" w:cs="Calibri"/>
          <w:b/>
          <w:sz w:val="24"/>
          <w:szCs w:val="24"/>
        </w:rPr>
        <w:t xml:space="preserve"> – </w:t>
      </w:r>
      <w:proofErr w:type="spellStart"/>
      <w:r w:rsidRPr="003435DC">
        <w:rPr>
          <w:rFonts w:ascii="Calibri" w:hAnsi="Calibri" w:cs="Calibri"/>
          <w:b/>
          <w:sz w:val="24"/>
          <w:szCs w:val="24"/>
        </w:rPr>
        <w:t>návrh</w:t>
      </w:r>
      <w:proofErr w:type="spellEnd"/>
      <w:r w:rsidRPr="003435DC">
        <w:rPr>
          <w:rFonts w:ascii="Calibri" w:hAnsi="Calibri" w:cs="Calibri"/>
          <w:b/>
          <w:sz w:val="24"/>
          <w:szCs w:val="24"/>
        </w:rPr>
        <w:t xml:space="preserve"> na </w:t>
      </w:r>
      <w:proofErr w:type="spellStart"/>
      <w:proofErr w:type="gramStart"/>
      <w:r w:rsidRPr="003435DC">
        <w:rPr>
          <w:rFonts w:ascii="Calibri" w:hAnsi="Calibri" w:cs="Calibri"/>
          <w:b/>
          <w:sz w:val="24"/>
          <w:szCs w:val="24"/>
        </w:rPr>
        <w:t>plneni</w:t>
      </w:r>
      <w:r w:rsidRPr="003435DC">
        <w:rPr>
          <w:rFonts w:ascii="Calibri" w:hAnsi="Calibri" w:cs="Calibri"/>
          <w:b/>
          <w:sz w:val="24"/>
          <w:szCs w:val="24"/>
        </w:rPr>
        <w:t>e</w:t>
      </w:r>
      <w:proofErr w:type="spellEnd"/>
      <w:r w:rsidRPr="003435DC">
        <w:rPr>
          <w:rFonts w:ascii="Calibri" w:hAnsi="Calibri" w:cs="Calibri"/>
          <w:b/>
          <w:sz w:val="24"/>
          <w:szCs w:val="24"/>
        </w:rPr>
        <w:t xml:space="preserve">  </w:t>
      </w:r>
      <w:proofErr w:type="spellStart"/>
      <w:r w:rsidRPr="003435DC">
        <w:rPr>
          <w:rFonts w:ascii="Calibri" w:hAnsi="Calibri" w:cs="Calibri"/>
          <w:b/>
          <w:sz w:val="24"/>
          <w:szCs w:val="24"/>
        </w:rPr>
        <w:t>kritérií</w:t>
      </w:r>
      <w:proofErr w:type="spellEnd"/>
      <w:proofErr w:type="gramEnd"/>
      <w:r w:rsidRPr="003435D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435DC">
        <w:rPr>
          <w:rFonts w:ascii="Calibri" w:hAnsi="Calibri" w:cs="Calibri"/>
          <w:b/>
          <w:sz w:val="24"/>
          <w:szCs w:val="24"/>
        </w:rPr>
        <w:t>Röntgenu</w:t>
      </w:r>
      <w:proofErr w:type="spellEnd"/>
      <w:r w:rsidRPr="003435DC">
        <w:rPr>
          <w:rFonts w:ascii="Calibri" w:hAnsi="Calibri" w:cs="Calibri"/>
          <w:b/>
          <w:sz w:val="24"/>
          <w:szCs w:val="24"/>
        </w:rPr>
        <w:t xml:space="preserve"> na </w:t>
      </w:r>
      <w:proofErr w:type="spellStart"/>
      <w:r w:rsidRPr="003435DC">
        <w:rPr>
          <w:rFonts w:ascii="Calibri" w:hAnsi="Calibri" w:cs="Calibri"/>
          <w:b/>
          <w:sz w:val="24"/>
          <w:szCs w:val="24"/>
        </w:rPr>
        <w:t>overo</w:t>
      </w:r>
      <w:r w:rsidRPr="003435DC">
        <w:rPr>
          <w:rFonts w:ascii="Calibri" w:hAnsi="Calibri" w:cs="Calibri"/>
          <w:b/>
          <w:sz w:val="24"/>
          <w:szCs w:val="24"/>
        </w:rPr>
        <w:t>vanie</w:t>
      </w:r>
      <w:proofErr w:type="spellEnd"/>
      <w:r w:rsidRPr="003435D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435DC">
        <w:rPr>
          <w:rFonts w:ascii="Calibri" w:hAnsi="Calibri" w:cs="Calibri"/>
          <w:b/>
          <w:sz w:val="24"/>
          <w:szCs w:val="24"/>
        </w:rPr>
        <w:t>kvality</w:t>
      </w:r>
      <w:proofErr w:type="spellEnd"/>
    </w:p>
    <w:p w:rsidR="003435DC" w:rsidRDefault="003435DC" w:rsidP="003435DC">
      <w:pPr>
        <w:tabs>
          <w:tab w:val="left" w:pos="0"/>
          <w:tab w:val="left" w:pos="332"/>
          <w:tab w:val="left" w:pos="365"/>
          <w:tab w:val="left" w:pos="401"/>
          <w:tab w:val="left" w:pos="485"/>
          <w:tab w:val="left" w:pos="533"/>
          <w:tab w:val="left" w:pos="567"/>
          <w:tab w:val="left" w:pos="645"/>
        </w:tabs>
        <w:jc w:val="both"/>
        <w:rPr>
          <w:rStyle w:val="iadneA"/>
          <w:rFonts w:cs="Arial"/>
          <w:b/>
          <w:sz w:val="22"/>
          <w:lang w:val="sk-SK"/>
        </w:rPr>
      </w:pPr>
    </w:p>
    <w:p w:rsidR="003435DC" w:rsidRPr="003435DC" w:rsidRDefault="003435DC" w:rsidP="003435DC">
      <w:pPr>
        <w:tabs>
          <w:tab w:val="left" w:pos="0"/>
        </w:tabs>
        <w:jc w:val="both"/>
        <w:rPr>
          <w:rStyle w:val="iadneA"/>
          <w:rFonts w:cs="Arial"/>
          <w:b/>
          <w:sz w:val="22"/>
          <w:lang w:val="sk-SK"/>
        </w:rPr>
      </w:pPr>
    </w:p>
    <w:tbl>
      <w:tblPr>
        <w:tblW w:w="94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0"/>
        <w:gridCol w:w="5385"/>
        <w:gridCol w:w="1264"/>
      </w:tblGrid>
      <w:tr w:rsidR="002804FB" w:rsidRPr="001E7694" w:rsidTr="00E1716C">
        <w:trPr>
          <w:trHeight w:val="389"/>
          <w:jc w:val="center"/>
        </w:trPr>
        <w:tc>
          <w:tcPr>
            <w:tcW w:w="9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3435DC" w:rsidRDefault="002804FB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40" w:lineRule="auto"/>
              <w:rPr>
                <w:rStyle w:val="iadneA"/>
                <w:rFonts w:cs="Arial"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highlight w:val="yellow"/>
                <w:lang w:val="sk-SK"/>
              </w:rPr>
              <w:t>Obchodné meno,</w:t>
            </w:r>
          </w:p>
          <w:p w:rsidR="002804FB" w:rsidRDefault="003435D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40" w:lineRule="auto"/>
              <w:rPr>
                <w:rStyle w:val="iadneA"/>
                <w:rFonts w:cs="Arial"/>
                <w:highlight w:val="yellow"/>
                <w:lang w:val="sk-SK"/>
              </w:rPr>
            </w:pPr>
            <w:r>
              <w:rPr>
                <w:rStyle w:val="iadneA"/>
                <w:rFonts w:cs="Arial"/>
                <w:highlight w:val="yellow"/>
                <w:lang w:val="sk-SK"/>
              </w:rPr>
              <w:t xml:space="preserve"> </w:t>
            </w:r>
            <w:r w:rsidR="002804FB" w:rsidRPr="001E7694">
              <w:rPr>
                <w:rStyle w:val="iadneA"/>
                <w:rFonts w:cs="Arial"/>
                <w:highlight w:val="yellow"/>
                <w:lang w:val="sk-SK"/>
              </w:rPr>
              <w:t xml:space="preserve">sídlo </w:t>
            </w:r>
          </w:p>
          <w:p w:rsidR="003435DC" w:rsidRDefault="003435D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40" w:lineRule="auto"/>
              <w:rPr>
                <w:rStyle w:val="iadneA"/>
                <w:rFonts w:cs="Arial"/>
                <w:highlight w:val="yellow"/>
                <w:lang w:val="sk-SK"/>
              </w:rPr>
            </w:pPr>
            <w:r>
              <w:rPr>
                <w:rStyle w:val="iadneA"/>
                <w:rFonts w:cs="Arial"/>
                <w:highlight w:val="yellow"/>
                <w:lang w:val="sk-SK"/>
              </w:rPr>
              <w:t>IČO</w:t>
            </w:r>
          </w:p>
          <w:p w:rsidR="003435DC" w:rsidRPr="001E7694" w:rsidRDefault="003435D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40" w:lineRule="auto"/>
              <w:rPr>
                <w:rFonts w:cs="Arial"/>
                <w:highlight w:val="yellow"/>
              </w:rPr>
            </w:pPr>
            <w:r w:rsidRPr="001E7694">
              <w:rPr>
                <w:rStyle w:val="iadneA"/>
                <w:rFonts w:cs="Arial"/>
                <w:highlight w:val="yellow"/>
                <w:lang w:val="sk-SK"/>
              </w:rPr>
              <w:t>a kontakt predkladateľa ponuky:</w:t>
            </w:r>
          </w:p>
        </w:tc>
      </w:tr>
      <w:tr w:rsidR="002804FB" w:rsidRPr="001E7694" w:rsidTr="00E1716C">
        <w:trPr>
          <w:trHeight w:val="444"/>
          <w:jc w:val="center"/>
        </w:trPr>
        <w:tc>
          <w:tcPr>
            <w:tcW w:w="9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04FB" w:rsidRPr="001E7694" w:rsidRDefault="002804FB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40" w:lineRule="auto"/>
              <w:rPr>
                <w:rFonts w:cs="Arial"/>
                <w:highlight w:val="yellow"/>
              </w:rPr>
            </w:pPr>
            <w:r w:rsidRPr="001E7694">
              <w:rPr>
                <w:rStyle w:val="iadneA"/>
                <w:rFonts w:cs="Arial"/>
                <w:highlight w:val="yellow"/>
                <w:lang w:val="sk-SK"/>
              </w:rPr>
              <w:t xml:space="preserve">Obchodné meno výrobcu logického celku vrátane príslušenstva: </w:t>
            </w:r>
          </w:p>
        </w:tc>
      </w:tr>
      <w:tr w:rsidR="002804FB" w:rsidRPr="001E7694" w:rsidTr="00E1716C">
        <w:trPr>
          <w:trHeight w:val="500"/>
          <w:jc w:val="center"/>
        </w:trPr>
        <w:tc>
          <w:tcPr>
            <w:tcW w:w="9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804FB" w:rsidRPr="001E7694" w:rsidRDefault="002804FB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40" w:lineRule="auto"/>
              <w:rPr>
                <w:rFonts w:cs="Arial"/>
                <w:highlight w:val="yellow"/>
              </w:rPr>
            </w:pPr>
            <w:proofErr w:type="spellStart"/>
            <w:r w:rsidRPr="001E7694">
              <w:rPr>
                <w:rFonts w:cs="Arial"/>
                <w:highlight w:val="yellow"/>
              </w:rPr>
              <w:t>Typové</w:t>
            </w:r>
            <w:proofErr w:type="spellEnd"/>
            <w:r w:rsidRPr="001E7694">
              <w:rPr>
                <w:rFonts w:cs="Arial"/>
                <w:highlight w:val="yellow"/>
              </w:rPr>
              <w:t xml:space="preserve"> </w:t>
            </w:r>
            <w:proofErr w:type="spellStart"/>
            <w:r w:rsidRPr="001E7694">
              <w:rPr>
                <w:rFonts w:cs="Arial"/>
                <w:highlight w:val="yellow"/>
              </w:rPr>
              <w:t>označenie</w:t>
            </w:r>
            <w:proofErr w:type="spellEnd"/>
            <w:r w:rsidRPr="001E7694">
              <w:rPr>
                <w:rFonts w:cs="Arial"/>
                <w:highlight w:val="yellow"/>
              </w:rPr>
              <w:t xml:space="preserve"> </w:t>
            </w:r>
            <w:proofErr w:type="spellStart"/>
            <w:r w:rsidRPr="001E7694">
              <w:rPr>
                <w:rFonts w:cs="Arial"/>
                <w:highlight w:val="yellow"/>
              </w:rPr>
              <w:t>logického</w:t>
            </w:r>
            <w:proofErr w:type="spellEnd"/>
            <w:r w:rsidRPr="001E7694">
              <w:rPr>
                <w:rFonts w:cs="Arial"/>
                <w:highlight w:val="yellow"/>
              </w:rPr>
              <w:t xml:space="preserve"> </w:t>
            </w:r>
            <w:proofErr w:type="spellStart"/>
            <w:r w:rsidRPr="001E7694">
              <w:rPr>
                <w:rFonts w:cs="Arial"/>
                <w:highlight w:val="yellow"/>
              </w:rPr>
              <w:t>celku</w:t>
            </w:r>
            <w:proofErr w:type="spellEnd"/>
            <w:r w:rsidRPr="001E7694">
              <w:rPr>
                <w:rFonts w:cs="Arial"/>
                <w:highlight w:val="yellow"/>
              </w:rPr>
              <w:t xml:space="preserve"> </w:t>
            </w:r>
            <w:proofErr w:type="spellStart"/>
            <w:r w:rsidRPr="001E7694">
              <w:rPr>
                <w:rFonts w:cs="Arial"/>
                <w:highlight w:val="yellow"/>
              </w:rPr>
              <w:t>vrátane</w:t>
            </w:r>
            <w:proofErr w:type="spellEnd"/>
            <w:r w:rsidRPr="001E7694">
              <w:rPr>
                <w:rFonts w:cs="Arial"/>
                <w:highlight w:val="yellow"/>
              </w:rPr>
              <w:t xml:space="preserve"> </w:t>
            </w:r>
            <w:proofErr w:type="spellStart"/>
            <w:r w:rsidRPr="001E7694">
              <w:rPr>
                <w:rFonts w:cs="Arial"/>
                <w:highlight w:val="yellow"/>
              </w:rPr>
              <w:t>príslušenstva</w:t>
            </w:r>
            <w:proofErr w:type="spellEnd"/>
            <w:r w:rsidRPr="001E7694">
              <w:rPr>
                <w:rFonts w:cs="Arial"/>
                <w:highlight w:val="yellow"/>
              </w:rPr>
              <w:t>:</w:t>
            </w:r>
          </w:p>
        </w:tc>
      </w:tr>
      <w:tr w:rsidR="002804FB" w:rsidRPr="001E7694" w:rsidTr="00E1716C">
        <w:trPr>
          <w:trHeight w:val="20"/>
          <w:jc w:val="center"/>
        </w:trPr>
        <w:tc>
          <w:tcPr>
            <w:tcW w:w="8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Pr="003D112F" w:rsidRDefault="00CD76DA" w:rsidP="00E171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bCs/>
                <w:i/>
                <w:iCs/>
              </w:rPr>
            </w:pPr>
            <w:r w:rsidRPr="00995B22">
              <w:rPr>
                <w:rStyle w:val="iadneA"/>
                <w:rFonts w:cs="Arial"/>
                <w:b/>
                <w:u w:color="FF2600"/>
                <w:lang w:val="sk-SK"/>
              </w:rPr>
              <w:t xml:space="preserve">Röntgen </w:t>
            </w:r>
            <w:r w:rsidR="00E1716C" w:rsidRPr="00892620">
              <w:rPr>
                <w:rStyle w:val="iadneA"/>
                <w:rFonts w:cs="Arial"/>
                <w:b/>
                <w:u w:color="FF2600"/>
                <w:lang w:val="sk-SK"/>
              </w:rPr>
              <w:t>(počet: 1 ks)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1E7694" w:rsidRDefault="002804FB" w:rsidP="00596A89">
            <w:pPr>
              <w:tabs>
                <w:tab w:val="left" w:pos="708"/>
              </w:tabs>
              <w:rPr>
                <w:rFonts w:cs="Arial"/>
                <w:highlight w:val="yellow"/>
              </w:rPr>
            </w:pPr>
            <w:r w:rsidRPr="001E7694">
              <w:rPr>
                <w:rStyle w:val="iadneA"/>
                <w:rFonts w:cs="Arial"/>
                <w:b/>
                <w:bCs/>
                <w:highlight w:val="yellow"/>
                <w:lang w:val="sk-SK"/>
              </w:rPr>
              <w:t>Parametre (dodávateľ)</w:t>
            </w:r>
          </w:p>
        </w:tc>
      </w:tr>
      <w:tr w:rsidR="002804FB" w:rsidRPr="001E7694" w:rsidTr="00E1716C">
        <w:trPr>
          <w:trHeight w:val="20"/>
          <w:jc w:val="center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Pr="001E7694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  <w:r>
              <w:rPr>
                <w:rStyle w:val="iadneA"/>
                <w:rFonts w:cs="Arial"/>
                <w:b/>
                <w:bCs/>
                <w:lang w:val="sk-SK"/>
              </w:rPr>
              <w:t>Hlavné parametre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1E7694" w:rsidRDefault="002804FB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D</w:t>
            </w:r>
            <w:r w:rsidRPr="003D112F">
              <w:rPr>
                <w:rStyle w:val="iadneA"/>
                <w:rFonts w:cs="Arial"/>
                <w:i/>
                <w:iCs/>
                <w:lang w:val="sk-SK"/>
              </w:rPr>
              <w:t>igitálny systém s RTG zariadením na IP platne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1E7694" w:rsidRDefault="00E5602D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2804FB" w:rsidRPr="001E7694" w:rsidTr="00E1716C">
        <w:trPr>
          <w:trHeight w:val="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3D112F" w:rsidRDefault="002804FB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S</w:t>
            </w:r>
            <w:r w:rsidRPr="003D112F">
              <w:rPr>
                <w:rStyle w:val="iadneA"/>
                <w:rFonts w:cs="Arial"/>
                <w:i/>
                <w:iCs/>
                <w:lang w:val="sk-SK"/>
              </w:rPr>
              <w:t xml:space="preserve">ystém s bezkontaktným </w:t>
            </w:r>
            <w:r>
              <w:rPr>
                <w:rStyle w:val="iadneA"/>
                <w:rFonts w:cs="Arial"/>
                <w:i/>
                <w:iCs/>
                <w:lang w:val="sk-SK"/>
              </w:rPr>
              <w:t>posuvom platne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1E7694" w:rsidRDefault="002804FB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2804FB" w:rsidTr="00E1716C">
        <w:trPr>
          <w:trHeight w:val="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3D112F" w:rsidRDefault="002804FB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S</w:t>
            </w:r>
            <w:r w:rsidRPr="003D112F">
              <w:rPr>
                <w:rStyle w:val="iadneA"/>
                <w:rFonts w:cs="Arial"/>
                <w:i/>
                <w:iCs/>
                <w:lang w:val="sk-SK"/>
              </w:rPr>
              <w:t xml:space="preserve">ystém v zhode s 17636-2 A </w:t>
            </w:r>
            <w:proofErr w:type="spellStart"/>
            <w:r w:rsidRPr="003D112F">
              <w:rPr>
                <w:rStyle w:val="iadneA"/>
                <w:rFonts w:cs="Arial"/>
                <w:i/>
                <w:iCs/>
                <w:lang w:val="sk-SK"/>
              </w:rPr>
              <w:t>a</w:t>
            </w:r>
            <w:proofErr w:type="spellEnd"/>
            <w:r w:rsidRPr="003D112F">
              <w:rPr>
                <w:rStyle w:val="iadneA"/>
                <w:rFonts w:cs="Arial"/>
                <w:i/>
                <w:iCs/>
                <w:lang w:val="sk-SK"/>
              </w:rPr>
              <w:t xml:space="preserve"> B a s požiadavkami ASME, ASTN a EN pre zvarové spoje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Default="00E5602D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2804FB" w:rsidTr="00E1716C">
        <w:trPr>
          <w:trHeight w:val="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3D112F" w:rsidRDefault="002804FB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 w:rsidRPr="003D112F">
              <w:rPr>
                <w:rStyle w:val="iadneA"/>
                <w:rFonts w:cs="Arial"/>
                <w:i/>
                <w:iCs/>
                <w:lang w:val="sk-SK"/>
              </w:rPr>
              <w:t>DICONDE zhoda, systém musí byť certifikovaný treťou stranou v zmysle príslušných noriem pre nasadenie v priemyselnom NDT (napr. certifikácia BAM)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Default="00E5602D" w:rsidP="00E5602D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</w:t>
            </w:r>
          </w:p>
        </w:tc>
      </w:tr>
      <w:tr w:rsidR="002804FB" w:rsidTr="00E1716C">
        <w:trPr>
          <w:trHeight w:val="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3D112F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P</w:t>
            </w:r>
            <w:r w:rsidRPr="00E1716C">
              <w:rPr>
                <w:rStyle w:val="iadneA"/>
                <w:rFonts w:cs="Arial"/>
                <w:i/>
                <w:iCs/>
                <w:lang w:val="sk-SK"/>
              </w:rPr>
              <w:t>riepustnosť systému minimálne 80 platní / hodina pri 70 um; minimálne 25 platní pri 35 um, (10x40 cm)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Default="002804FB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2804FB" w:rsidTr="00E1716C">
        <w:trPr>
          <w:trHeight w:val="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3D112F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F</w:t>
            </w:r>
            <w:r w:rsidRPr="00E1716C">
              <w:rPr>
                <w:rStyle w:val="iadneA"/>
                <w:rFonts w:cs="Arial"/>
                <w:i/>
                <w:iCs/>
                <w:lang w:val="sk-SK"/>
              </w:rPr>
              <w:t xml:space="preserve">ólie so </w:t>
            </w:r>
            <w:proofErr w:type="spellStart"/>
            <w:r w:rsidRPr="00E1716C">
              <w:rPr>
                <w:rStyle w:val="iadneA"/>
                <w:rFonts w:cs="Arial"/>
                <w:i/>
                <w:iCs/>
                <w:lang w:val="sk-SK"/>
              </w:rPr>
              <w:t>štandarným</w:t>
            </w:r>
            <w:proofErr w:type="spellEnd"/>
            <w:r w:rsidRPr="00E1716C">
              <w:rPr>
                <w:rStyle w:val="iadneA"/>
                <w:rFonts w:cs="Arial"/>
                <w:i/>
                <w:iCs/>
                <w:lang w:val="sk-SK"/>
              </w:rPr>
              <w:t xml:space="preserve"> aj vysokým rozlíšením v rozmeroch: 10x24, 10x16, 10x30, 10x40, 10x48 alebo alternatívne, 30x40 cm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Default="002804FB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2804FB" w:rsidTr="00E1716C">
        <w:trPr>
          <w:trHeight w:val="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3D112F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 w:rsidRPr="00E1716C">
              <w:rPr>
                <w:rStyle w:val="iadneA"/>
                <w:rFonts w:cs="Arial"/>
                <w:i/>
                <w:iCs/>
                <w:lang w:val="sk-SK"/>
              </w:rPr>
              <w:t>RTG lampa s malým ohniskom 1.0 mm /EN1254/; 0,5 mm /IEC336/, alebo 0.5 mm ohnisko EN1254 - ponuka 200 kV / 225 kV resp. alternatívne 280 kV lampa, vzduchom chladená.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Default="002804FB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2804FB" w:rsidTr="00E1716C">
        <w:trPr>
          <w:trHeight w:val="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Pr="003D112F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 w:rsidRPr="00E1716C">
              <w:rPr>
                <w:rStyle w:val="iadneA"/>
                <w:rFonts w:cs="Arial"/>
                <w:i/>
                <w:iCs/>
                <w:lang w:val="sk-SK"/>
              </w:rPr>
              <w:t>Nastavenie kV od 10 kV - 200 kV alebo 10 kV - 280 kV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04FB" w:rsidRDefault="002804FB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2804FB" w:rsidRPr="001E7694" w:rsidTr="00E1716C">
        <w:trPr>
          <w:trHeight w:val="920"/>
          <w:jc w:val="center"/>
        </w:trPr>
        <w:tc>
          <w:tcPr>
            <w:tcW w:w="27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4FB" w:rsidRDefault="002804FB" w:rsidP="00596A89">
            <w:pPr>
              <w:tabs>
                <w:tab w:val="left" w:pos="708"/>
                <w:tab w:val="left" w:pos="1416"/>
              </w:tabs>
              <w:rPr>
                <w:rStyle w:val="iadneA"/>
                <w:rFonts w:cs="Arial"/>
                <w:b/>
                <w:bCs/>
                <w:lang w:val="sk-SK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04FB" w:rsidRPr="003D112F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 w:rsidRPr="00E1716C">
              <w:rPr>
                <w:rStyle w:val="iadneA"/>
                <w:rFonts w:cs="Arial"/>
                <w:i/>
                <w:iCs/>
                <w:lang w:val="sk-SK"/>
              </w:rPr>
              <w:t>SW časť s aplikačným filtrom, ktorý automaticky prepočíta odtiene sivej  v rozsahu snímanom zariadením (16bit) do spektra vnemu ľudského oka, čim je zabezpečená plynulosť a rýchlosť hodnotiaceho procesu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04FB" w:rsidRPr="001E7694" w:rsidRDefault="002804FB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</w:rPr>
            </w:pPr>
            <w:r>
              <w:rPr>
                <w:rStyle w:val="iadneA"/>
                <w:rFonts w:cs="Arial"/>
                <w:b/>
                <w:bCs/>
                <w:lang w:val="sk-SK"/>
              </w:rPr>
              <w:t>Ď</w:t>
            </w:r>
            <w:r w:rsidRPr="001E7694">
              <w:rPr>
                <w:rStyle w:val="iadneA"/>
                <w:rFonts w:cs="Arial"/>
                <w:b/>
                <w:bCs/>
                <w:lang w:val="sk-SK"/>
              </w:rPr>
              <w:t>alšie požiadavky k dodaniu a sfunkčneniu zariadenia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cs="Arial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P</w:t>
            </w:r>
            <w:r w:rsidRPr="003D76DE">
              <w:rPr>
                <w:rStyle w:val="iadneA"/>
                <w:rFonts w:cs="Arial"/>
                <w:i/>
                <w:iCs/>
                <w:lang w:val="sk-SK"/>
              </w:rPr>
              <w:t>racovný cyklus zaťaženia 100% pri 30°C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5602D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rPr>
                <w:rFonts w:cs="Arial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cs="Arial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Z</w:t>
            </w:r>
            <w:r w:rsidRPr="003D76DE">
              <w:rPr>
                <w:rStyle w:val="iadneA"/>
                <w:rFonts w:cs="Arial"/>
                <w:i/>
                <w:iCs/>
                <w:lang w:val="sk-SK"/>
              </w:rPr>
              <w:t>ariadenia musia mať zabezpečený záručný a pozáručný servis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5602D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rPr>
                <w:rFonts w:cs="Arial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6C" w:rsidRPr="003D112F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 w:rsidRPr="003D76DE">
              <w:rPr>
                <w:rStyle w:val="iadneA"/>
                <w:rFonts w:cs="Arial"/>
                <w:i/>
                <w:iCs/>
                <w:lang w:val="sk-SK"/>
              </w:rPr>
              <w:t xml:space="preserve">SW licencia musí byť platná na neobmedzene dlhú dobu, </w:t>
            </w:r>
            <w:proofErr w:type="spellStart"/>
            <w:r w:rsidRPr="003D76DE">
              <w:rPr>
                <w:rStyle w:val="iadneA"/>
                <w:rFonts w:cs="Arial"/>
                <w:i/>
                <w:iCs/>
                <w:lang w:val="sk-SK"/>
              </w:rPr>
              <w:t>t.j</w:t>
            </w:r>
            <w:proofErr w:type="spellEnd"/>
            <w:r w:rsidRPr="003D76DE">
              <w:rPr>
                <w:rStyle w:val="iadneA"/>
                <w:rFonts w:cs="Arial"/>
                <w:i/>
                <w:iCs/>
                <w:lang w:val="sk-SK"/>
              </w:rPr>
              <w:t>. nie sú s užívaním SW spojené ďalšie náklady v podobe licenčných poplatkov.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5602D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rPr>
                <w:rFonts w:cs="Arial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6C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>
              <w:rPr>
                <w:rStyle w:val="iadneA"/>
                <w:rFonts w:cs="Arial"/>
                <w:i/>
                <w:iCs/>
                <w:lang w:val="sk-SK"/>
              </w:rPr>
              <w:t>Doprava</w:t>
            </w:r>
            <w:r w:rsidRPr="001E7694">
              <w:rPr>
                <w:rStyle w:val="iadneA"/>
                <w:rFonts w:cs="Arial"/>
                <w:i/>
                <w:iCs/>
                <w:lang w:val="sk-SK"/>
              </w:rPr>
              <w:t xml:space="preserve"> vrátane poistenia </w:t>
            </w:r>
            <w:r>
              <w:rPr>
                <w:rStyle w:val="iadneA"/>
                <w:rFonts w:cs="Arial"/>
                <w:i/>
                <w:iCs/>
                <w:lang w:val="sk-SK"/>
              </w:rPr>
              <w:t>a zaškolenia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716C" w:rsidRPr="001E7694" w:rsidRDefault="00E5602D" w:rsidP="00E5602D">
            <w:pPr>
              <w:tabs>
                <w:tab w:val="left" w:pos="708"/>
              </w:tabs>
              <w:spacing w:line="240" w:lineRule="auto"/>
              <w:rPr>
                <w:rStyle w:val="iadneA"/>
                <w:rFonts w:cs="Arial"/>
                <w:i/>
                <w:iCs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rPr>
                <w:rFonts w:cs="Arial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cs="Arial"/>
                <w:i/>
                <w:iCs/>
              </w:rPr>
            </w:pPr>
            <w:r w:rsidRPr="001E7694">
              <w:rPr>
                <w:rStyle w:val="iadneA"/>
                <w:rFonts w:cs="Arial"/>
                <w:i/>
                <w:iCs/>
                <w:lang w:val="sk-SK"/>
              </w:rPr>
              <w:t>Požadovaný termín dodania od záväznej objednávky 7 mesiacov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6C" w:rsidRPr="001E7694" w:rsidRDefault="00E5602D" w:rsidP="00596A89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Cena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za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prístroj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vrátane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</w:rPr>
              <w:t>dopravy</w:t>
            </w:r>
            <w:proofErr w:type="spellEnd"/>
            <w:r>
              <w:rPr>
                <w:rFonts w:cs="Arial"/>
                <w:b/>
                <w:bCs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</w:rPr>
              <w:t>inštalácie</w:t>
            </w:r>
            <w:proofErr w:type="spellEnd"/>
            <w:r>
              <w:rPr>
                <w:rFonts w:cs="Arial"/>
                <w:b/>
                <w:bCs/>
              </w:rPr>
              <w:t xml:space="preserve"> a </w:t>
            </w:r>
            <w:proofErr w:type="spellStart"/>
            <w:r>
              <w:rPr>
                <w:rFonts w:cs="Arial"/>
                <w:b/>
                <w:bCs/>
              </w:rPr>
              <w:t>sprevádzkovania</w:t>
            </w:r>
            <w:proofErr w:type="spellEnd"/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cs="Arial"/>
              </w:rPr>
            </w:pPr>
            <w:proofErr w:type="spellStart"/>
            <w:r w:rsidRPr="001E7694">
              <w:rPr>
                <w:rFonts w:cs="Arial"/>
                <w:i/>
                <w:iCs/>
              </w:rPr>
              <w:t>Eur</w:t>
            </w:r>
            <w:proofErr w:type="spellEnd"/>
            <w:r w:rsidRPr="001E7694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E7694">
              <w:rPr>
                <w:rFonts w:cs="Arial"/>
                <w:i/>
                <w:iCs/>
              </w:rPr>
              <w:t>bez</w:t>
            </w:r>
            <w:proofErr w:type="spellEnd"/>
            <w:r w:rsidRPr="001E7694">
              <w:rPr>
                <w:rFonts w:cs="Arial"/>
                <w:i/>
                <w:iCs/>
              </w:rPr>
              <w:t xml:space="preserve"> DPH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</w:rPr>
            </w:pPr>
            <w:proofErr w:type="spellStart"/>
            <w:r w:rsidRPr="001E7694">
              <w:rPr>
                <w:rFonts w:cs="Arial"/>
                <w:b/>
                <w:bCs/>
              </w:rPr>
              <w:t>Cena</w:t>
            </w:r>
            <w:proofErr w:type="spellEnd"/>
            <w:r w:rsidRPr="001E7694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1E7694">
              <w:rPr>
                <w:rFonts w:cs="Arial"/>
                <w:b/>
                <w:bCs/>
              </w:rPr>
              <w:t>celkom</w:t>
            </w:r>
            <w:proofErr w:type="spellEnd"/>
            <w:r w:rsidRPr="001E7694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1E7694">
              <w:rPr>
                <w:rFonts w:cs="Arial"/>
                <w:b/>
                <w:bCs/>
              </w:rPr>
              <w:t>bez</w:t>
            </w:r>
            <w:proofErr w:type="spellEnd"/>
            <w:r w:rsidRPr="001E7694">
              <w:rPr>
                <w:rFonts w:cs="Arial"/>
                <w:b/>
                <w:bCs/>
              </w:rPr>
              <w:t xml:space="preserve"> DPH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cs="Arial"/>
              </w:rPr>
            </w:pPr>
            <w:proofErr w:type="spellStart"/>
            <w:r w:rsidRPr="001E7694">
              <w:rPr>
                <w:rFonts w:cs="Arial"/>
                <w:i/>
                <w:iCs/>
              </w:rPr>
              <w:t>Eur</w:t>
            </w:r>
            <w:proofErr w:type="spellEnd"/>
            <w:r w:rsidRPr="001E7694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</w:rPr>
            </w:pPr>
            <w:r w:rsidRPr="001E7694">
              <w:rPr>
                <w:rFonts w:cs="Arial"/>
                <w:b/>
                <w:bCs/>
              </w:rPr>
              <w:t>DPH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16C" w:rsidRPr="001E7694" w:rsidRDefault="00E1716C" w:rsidP="00596A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</w:t>
            </w:r>
            <w:proofErr w:type="spellEnd"/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1716C" w:rsidP="00596A89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  <w:tr w:rsidR="00E1716C" w:rsidRPr="001E7694" w:rsidTr="00E1716C">
        <w:trPr>
          <w:trHeight w:val="20"/>
          <w:jc w:val="center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6C" w:rsidRPr="001E7694" w:rsidRDefault="00E1716C" w:rsidP="00E1716C">
            <w:pPr>
              <w:tabs>
                <w:tab w:val="left" w:pos="708"/>
                <w:tab w:val="left" w:pos="1416"/>
              </w:tabs>
              <w:spacing w:line="240" w:lineRule="auto"/>
              <w:rPr>
                <w:rFonts w:cs="Arial"/>
              </w:rPr>
            </w:pPr>
            <w:proofErr w:type="spellStart"/>
            <w:r w:rsidRPr="001E7694">
              <w:rPr>
                <w:rFonts w:cs="Arial"/>
                <w:b/>
                <w:bCs/>
              </w:rPr>
              <w:t>Cena</w:t>
            </w:r>
            <w:proofErr w:type="spellEnd"/>
            <w:r w:rsidRPr="001E7694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1E7694">
              <w:rPr>
                <w:rFonts w:cs="Arial"/>
                <w:b/>
                <w:bCs/>
              </w:rPr>
              <w:t>celkom</w:t>
            </w:r>
            <w:proofErr w:type="spellEnd"/>
            <w:r w:rsidRPr="001E7694">
              <w:rPr>
                <w:rFonts w:cs="Arial"/>
                <w:b/>
                <w:bCs/>
              </w:rPr>
              <w:t xml:space="preserve"> s DPH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716C" w:rsidRPr="001E7694" w:rsidRDefault="00E1716C" w:rsidP="00E171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Eur</w:t>
            </w:r>
            <w:proofErr w:type="spellEnd"/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16C" w:rsidRPr="001E7694" w:rsidRDefault="00E1716C" w:rsidP="00E1716C">
            <w:pPr>
              <w:tabs>
                <w:tab w:val="left" w:pos="708"/>
              </w:tabs>
              <w:spacing w:line="240" w:lineRule="auto"/>
              <w:jc w:val="center"/>
              <w:rPr>
                <w:rStyle w:val="iadneA"/>
                <w:rFonts w:cs="Arial"/>
                <w:i/>
                <w:iCs/>
                <w:highlight w:val="yellow"/>
                <w:lang w:val="sk-SK"/>
              </w:rPr>
            </w:pPr>
            <w:r w:rsidRPr="001E7694">
              <w:rPr>
                <w:rStyle w:val="iadneA"/>
                <w:rFonts w:cs="Arial"/>
                <w:i/>
                <w:iCs/>
                <w:highlight w:val="yellow"/>
                <w:lang w:val="sk-SK"/>
              </w:rPr>
              <w:t>..........</w:t>
            </w:r>
          </w:p>
        </w:tc>
      </w:tr>
    </w:tbl>
    <w:p w:rsidR="002804FB" w:rsidRPr="002804FB" w:rsidRDefault="002804FB" w:rsidP="002804FB">
      <w:pPr>
        <w:rPr>
          <w:lang w:val="sk-SK"/>
        </w:rPr>
      </w:pPr>
    </w:p>
    <w:p w:rsidR="0007159B" w:rsidRDefault="0007159B" w:rsidP="0007159B">
      <w:pPr>
        <w:rPr>
          <w:rFonts w:eastAsiaTheme="minorHAnsi" w:cs="Arial"/>
          <w:b/>
          <w:lang w:val="sk-SK" w:eastAsia="en-US"/>
        </w:rPr>
      </w:pPr>
    </w:p>
    <w:p w:rsidR="00690BA3" w:rsidRDefault="00690BA3" w:rsidP="007F1EBF">
      <w:pPr>
        <w:rPr>
          <w:rFonts w:eastAsiaTheme="minorHAnsi" w:cs="Arial"/>
          <w:b/>
          <w:lang w:val="sk-SK" w:eastAsia="en-US"/>
        </w:rPr>
      </w:pPr>
    </w:p>
    <w:p w:rsidR="003435DC" w:rsidRDefault="003435DC" w:rsidP="007F1EBF">
      <w:pPr>
        <w:rPr>
          <w:rFonts w:eastAsiaTheme="minorHAnsi" w:cs="Arial"/>
          <w:b/>
          <w:lang w:val="sk-SK" w:eastAsia="en-US"/>
        </w:rPr>
      </w:pPr>
    </w:p>
    <w:p w:rsidR="00690BA3" w:rsidRDefault="00690BA3" w:rsidP="007F1EBF">
      <w:pPr>
        <w:rPr>
          <w:rFonts w:eastAsiaTheme="minorHAnsi" w:cs="Arial"/>
          <w:b/>
          <w:lang w:val="sk-SK" w:eastAsia="en-US"/>
        </w:rPr>
      </w:pPr>
      <w:r>
        <w:rPr>
          <w:rFonts w:eastAsiaTheme="minorHAnsi" w:cs="Arial"/>
          <w:b/>
          <w:lang w:val="sk-SK" w:eastAsia="en-US"/>
        </w:rPr>
        <w:t>Dňa:</w:t>
      </w:r>
    </w:p>
    <w:p w:rsidR="003435DC" w:rsidRDefault="003435DC" w:rsidP="003435DC">
      <w:pPr>
        <w:ind w:left="3828"/>
        <w:rPr>
          <w:rFonts w:ascii="Calibri" w:hAnsi="Calibri" w:cs="Calibri"/>
          <w:sz w:val="22"/>
          <w:szCs w:val="22"/>
        </w:rPr>
      </w:pPr>
    </w:p>
    <w:p w:rsidR="003435DC" w:rsidRDefault="003435DC" w:rsidP="003435DC">
      <w:pPr>
        <w:ind w:left="3828"/>
        <w:rPr>
          <w:rFonts w:ascii="Calibri" w:hAnsi="Calibri" w:cs="Calibri"/>
          <w:sz w:val="22"/>
          <w:szCs w:val="22"/>
        </w:rPr>
      </w:pPr>
    </w:p>
    <w:p w:rsidR="003435DC" w:rsidRPr="00EE0840" w:rsidRDefault="003435DC" w:rsidP="003435DC">
      <w:pPr>
        <w:ind w:left="3828"/>
        <w:rPr>
          <w:rFonts w:ascii="Calibri" w:hAnsi="Calibri" w:cs="Calibri"/>
          <w:sz w:val="22"/>
          <w:szCs w:val="22"/>
        </w:rPr>
      </w:pPr>
      <w:bookmarkStart w:id="3" w:name="_GoBack"/>
      <w:proofErr w:type="spellStart"/>
      <w:r w:rsidRPr="00EE0840">
        <w:rPr>
          <w:rFonts w:ascii="Calibri" w:hAnsi="Calibri" w:cs="Calibri"/>
          <w:sz w:val="22"/>
          <w:szCs w:val="22"/>
        </w:rPr>
        <w:t>podpis</w:t>
      </w:r>
      <w:proofErr w:type="spellEnd"/>
      <w:r w:rsidRPr="00EE08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0840">
        <w:rPr>
          <w:rFonts w:ascii="Calibri" w:hAnsi="Calibri" w:cs="Calibri"/>
          <w:sz w:val="22"/>
          <w:szCs w:val="22"/>
        </w:rPr>
        <w:t>uchádzača</w:t>
      </w:r>
      <w:proofErr w:type="spellEnd"/>
      <w:r w:rsidRPr="00EE08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0840">
        <w:rPr>
          <w:rFonts w:ascii="Calibri" w:hAnsi="Calibri" w:cs="Calibri"/>
          <w:sz w:val="22"/>
          <w:szCs w:val="22"/>
        </w:rPr>
        <w:t>alebo</w:t>
      </w:r>
      <w:proofErr w:type="spellEnd"/>
      <w:r w:rsidRPr="00EE0840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EE0840">
        <w:rPr>
          <w:rFonts w:ascii="Calibri" w:hAnsi="Calibri" w:cs="Calibri"/>
          <w:sz w:val="22"/>
          <w:szCs w:val="22"/>
        </w:rPr>
        <w:t>osoby</w:t>
      </w:r>
      <w:proofErr w:type="spellEnd"/>
      <w:r w:rsidRPr="00EE0840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EE0840">
        <w:rPr>
          <w:rFonts w:ascii="Calibri" w:hAnsi="Calibri" w:cs="Calibri"/>
          <w:sz w:val="22"/>
          <w:szCs w:val="22"/>
        </w:rPr>
        <w:t>oprávnenej</w:t>
      </w:r>
      <w:proofErr w:type="spellEnd"/>
      <w:proofErr w:type="gramEnd"/>
      <w:r w:rsidRPr="00EE08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0840">
        <w:rPr>
          <w:rFonts w:ascii="Calibri" w:hAnsi="Calibri" w:cs="Calibri"/>
          <w:sz w:val="22"/>
          <w:szCs w:val="22"/>
        </w:rPr>
        <w:t>konať</w:t>
      </w:r>
      <w:proofErr w:type="spellEnd"/>
      <w:r w:rsidRPr="00EE08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0840">
        <w:rPr>
          <w:rFonts w:ascii="Calibri" w:hAnsi="Calibri" w:cs="Calibri"/>
          <w:sz w:val="22"/>
          <w:szCs w:val="22"/>
        </w:rPr>
        <w:t>za</w:t>
      </w:r>
      <w:proofErr w:type="spellEnd"/>
      <w:r w:rsidRPr="00EE084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E0840">
        <w:rPr>
          <w:rFonts w:ascii="Calibri" w:hAnsi="Calibri" w:cs="Calibri"/>
          <w:sz w:val="22"/>
          <w:szCs w:val="22"/>
        </w:rPr>
        <w:t>uchádzača</w:t>
      </w:r>
      <w:proofErr w:type="spellEnd"/>
    </w:p>
    <w:bookmarkEnd w:id="3"/>
    <w:p w:rsidR="003435DC" w:rsidRDefault="003435DC" w:rsidP="003435DC">
      <w:pPr>
        <w:rPr>
          <w:b/>
          <w:sz w:val="24"/>
          <w:szCs w:val="24"/>
        </w:rPr>
      </w:pPr>
    </w:p>
    <w:p w:rsidR="003435DC" w:rsidRDefault="003435DC" w:rsidP="007F1EBF">
      <w:pPr>
        <w:rPr>
          <w:rFonts w:eastAsiaTheme="minorHAnsi" w:cs="Arial"/>
          <w:b/>
          <w:lang w:val="sk-SK" w:eastAsia="en-US"/>
        </w:rPr>
      </w:pPr>
    </w:p>
    <w:sectPr w:rsidR="003435DC" w:rsidSect="003435DC">
      <w:headerReference w:type="default" r:id="rId8"/>
      <w:headerReference w:type="first" r:id="rId9"/>
      <w:pgSz w:w="11907" w:h="16840" w:code="9"/>
      <w:pgMar w:top="2552" w:right="1134" w:bottom="1418" w:left="1474" w:header="397" w:footer="69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11" w:rsidRDefault="00E84711" w:rsidP="00B84C52">
      <w:r>
        <w:separator/>
      </w:r>
    </w:p>
  </w:endnote>
  <w:endnote w:type="continuationSeparator" w:id="0">
    <w:p w:rsidR="00E84711" w:rsidRDefault="00E84711" w:rsidP="00B8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11" w:rsidRDefault="00E84711" w:rsidP="00B84C52">
      <w:r>
        <w:separator/>
      </w:r>
    </w:p>
  </w:footnote>
  <w:footnote w:type="continuationSeparator" w:id="0">
    <w:p w:rsidR="00E84711" w:rsidRDefault="00E84711" w:rsidP="00B8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A8" w:rsidRPr="008365A8" w:rsidRDefault="008365A8" w:rsidP="008365A8">
    <w:pPr>
      <w:pStyle w:val="Hlavika"/>
      <w:tabs>
        <w:tab w:val="clear" w:pos="4536"/>
        <w:tab w:val="clear" w:pos="9072"/>
        <w:tab w:val="center" w:pos="4648"/>
      </w:tabs>
      <w:spacing w:line="240" w:lineRule="auto"/>
      <w:ind w:right="6"/>
      <w:jc w:val="center"/>
      <w:rPr>
        <w:rFonts w:ascii="Arial Narrow" w:hAnsi="Arial Narrow"/>
        <w:noProof/>
        <w:sz w:val="14"/>
        <w:szCs w:val="14"/>
        <w:lang w:val="en-US"/>
      </w:rPr>
    </w:pPr>
    <w:r w:rsidRPr="008365A8">
      <w:rPr>
        <w:rFonts w:ascii="Arial Narrow" w:hAnsi="Arial Narrow"/>
        <w:noProof/>
        <w:sz w:val="14"/>
        <w:szCs w:val="14"/>
        <w:lang w:val="en-US"/>
      </w:rPr>
      <w:t xml:space="preserve">Page </w:t>
    </w:r>
    <w:r w:rsidR="00882989" w:rsidRPr="008365A8">
      <w:rPr>
        <w:rStyle w:val="slostrany"/>
        <w:rFonts w:ascii="Arial Narrow" w:hAnsi="Arial Narrow"/>
        <w:noProof/>
        <w:sz w:val="14"/>
        <w:szCs w:val="14"/>
        <w:lang w:val="en-US"/>
      </w:rPr>
      <w:fldChar w:fldCharType="begin"/>
    </w:r>
    <w:r w:rsidRPr="008365A8">
      <w:rPr>
        <w:rStyle w:val="slostrany"/>
        <w:rFonts w:ascii="Arial Narrow" w:hAnsi="Arial Narrow"/>
        <w:noProof/>
        <w:sz w:val="14"/>
        <w:szCs w:val="14"/>
        <w:lang w:val="en-US"/>
      </w:rPr>
      <w:instrText xml:space="preserve"> PAGE </w:instrText>
    </w:r>
    <w:r w:rsidRPr="008365A8">
      <w:rPr>
        <w:rFonts w:ascii="Arial Narrow" w:hAnsi="Arial Narrow"/>
        <w:noProof/>
        <w:sz w:val="14"/>
        <w:szCs w:val="14"/>
        <w:lang w:val="en-US"/>
      </w:rPr>
      <w:instrText>\* CHARFORMAT</w:instrText>
    </w:r>
    <w:r w:rsidRPr="008365A8">
      <w:rPr>
        <w:rStyle w:val="slostrany"/>
        <w:rFonts w:ascii="Arial Narrow" w:hAnsi="Arial Narrow"/>
        <w:noProof/>
        <w:sz w:val="14"/>
        <w:szCs w:val="14"/>
        <w:lang w:val="en-US"/>
      </w:rPr>
      <w:instrText xml:space="preserve"> </w:instrText>
    </w:r>
    <w:r w:rsidR="00882989" w:rsidRPr="008365A8">
      <w:rPr>
        <w:rStyle w:val="slostrany"/>
        <w:rFonts w:ascii="Arial Narrow" w:hAnsi="Arial Narrow"/>
        <w:noProof/>
        <w:sz w:val="14"/>
        <w:szCs w:val="14"/>
        <w:lang w:val="en-US"/>
      </w:rPr>
      <w:fldChar w:fldCharType="separate"/>
    </w:r>
    <w:r w:rsidR="003435DC">
      <w:rPr>
        <w:rStyle w:val="slostrany"/>
        <w:rFonts w:ascii="Arial Narrow" w:hAnsi="Arial Narrow"/>
        <w:noProof/>
        <w:sz w:val="14"/>
        <w:szCs w:val="14"/>
        <w:lang w:val="en-US"/>
      </w:rPr>
      <w:t>2</w:t>
    </w:r>
    <w:r w:rsidR="00882989" w:rsidRPr="008365A8">
      <w:rPr>
        <w:rStyle w:val="slostrany"/>
        <w:rFonts w:ascii="Arial Narrow" w:hAnsi="Arial Narrow"/>
        <w:noProof/>
        <w:sz w:val="14"/>
        <w:szCs w:val="14"/>
        <w:lang w:val="en-US"/>
      </w:rPr>
      <w:fldChar w:fldCharType="end"/>
    </w:r>
    <w:r w:rsidRPr="008365A8">
      <w:rPr>
        <w:rStyle w:val="slostrany"/>
        <w:rFonts w:ascii="Arial Narrow" w:hAnsi="Arial Narrow"/>
        <w:noProof/>
        <w:sz w:val="14"/>
        <w:szCs w:val="14"/>
        <w:lang w:val="en-US"/>
      </w:rPr>
      <w:t xml:space="preserve"> of </w:t>
    </w:r>
    <w:r w:rsidR="00882989" w:rsidRPr="008365A8">
      <w:rPr>
        <w:rFonts w:ascii="Arial Narrow" w:hAnsi="Arial Narrow"/>
        <w:noProof/>
        <w:sz w:val="14"/>
        <w:szCs w:val="14"/>
        <w:lang w:val="en-US"/>
      </w:rPr>
      <w:fldChar w:fldCharType="begin"/>
    </w:r>
    <w:r w:rsidRPr="008365A8">
      <w:rPr>
        <w:rFonts w:ascii="Arial Narrow" w:hAnsi="Arial Narrow"/>
        <w:noProof/>
        <w:sz w:val="14"/>
        <w:szCs w:val="14"/>
        <w:lang w:val="en-US"/>
      </w:rPr>
      <w:instrText xml:space="preserve"> NUMPAGES \* CHARFORMAT </w:instrText>
    </w:r>
    <w:r w:rsidR="00882989" w:rsidRPr="008365A8">
      <w:rPr>
        <w:rFonts w:ascii="Arial Narrow" w:hAnsi="Arial Narrow"/>
        <w:noProof/>
        <w:sz w:val="14"/>
        <w:szCs w:val="14"/>
        <w:lang w:val="en-US"/>
      </w:rPr>
      <w:fldChar w:fldCharType="separate"/>
    </w:r>
    <w:r w:rsidR="003435DC">
      <w:rPr>
        <w:rFonts w:ascii="Arial Narrow" w:hAnsi="Arial Narrow"/>
        <w:noProof/>
        <w:sz w:val="14"/>
        <w:szCs w:val="14"/>
        <w:lang w:val="en-US"/>
      </w:rPr>
      <w:t>2</w:t>
    </w:r>
    <w:r w:rsidR="00882989" w:rsidRPr="008365A8">
      <w:rPr>
        <w:rFonts w:ascii="Arial Narrow" w:hAnsi="Arial Narrow"/>
        <w:noProof/>
        <w:sz w:val="14"/>
        <w:szCs w:val="14"/>
        <w:lang w:val="en-US"/>
      </w:rPr>
      <w:fldChar w:fldCharType="end"/>
    </w:r>
  </w:p>
  <w:tbl>
    <w:tblPr>
      <w:tblpPr w:vertAnchor="page" w:horzAnchor="page" w:tblpX="9583" w:tblpY="636"/>
      <w:tblOverlap w:val="never"/>
      <w:tblW w:w="175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58"/>
    </w:tblGrid>
    <w:tr w:rsidR="008365A8" w:rsidRPr="008365A8" w:rsidTr="00AC66B4">
      <w:trPr>
        <w:trHeight w:val="1701"/>
      </w:trPr>
      <w:tc>
        <w:tcPr>
          <w:tcW w:w="1758" w:type="dxa"/>
        </w:tcPr>
        <w:p w:rsidR="008365A8" w:rsidRPr="008365A8" w:rsidRDefault="008365A8" w:rsidP="00AC66B4">
          <w:pPr>
            <w:pStyle w:val="Hlavika"/>
            <w:tabs>
              <w:tab w:val="clear" w:pos="4536"/>
              <w:tab w:val="clear" w:pos="9072"/>
              <w:tab w:val="center" w:pos="9057"/>
            </w:tabs>
            <w:jc w:val="right"/>
            <w:rPr>
              <w:noProof/>
              <w:lang w:val="en-US"/>
            </w:rPr>
          </w:pPr>
        </w:p>
      </w:tc>
    </w:tr>
  </w:tbl>
  <w:p w:rsidR="008365A8" w:rsidRPr="008365A8" w:rsidRDefault="008365A8" w:rsidP="008365A8">
    <w:pPr>
      <w:pStyle w:val="Hlavika"/>
      <w:tabs>
        <w:tab w:val="clear" w:pos="9072"/>
      </w:tabs>
      <w:rPr>
        <w:rFonts w:ascii="Arial Narrow" w:hAnsi="Arial Narrow"/>
        <w:noProof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9583" w:tblpY="568"/>
      <w:tblOverlap w:val="never"/>
      <w:tblW w:w="175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58"/>
    </w:tblGrid>
    <w:tr w:rsidR="00383D33" w:rsidRPr="00CD24D6" w:rsidTr="008365A8">
      <w:trPr>
        <w:cantSplit/>
        <w:trHeight w:hRule="exact" w:val="3260"/>
      </w:trPr>
      <w:tc>
        <w:tcPr>
          <w:tcW w:w="1758" w:type="dxa"/>
        </w:tcPr>
        <w:p w:rsidR="00383D33" w:rsidRPr="00CD24D6" w:rsidRDefault="00383D33" w:rsidP="00B84C52">
          <w:pPr>
            <w:pStyle w:val="Hlavika"/>
            <w:jc w:val="right"/>
            <w:rPr>
              <w:noProof/>
              <w:lang w:val="en-US"/>
            </w:rPr>
          </w:pPr>
        </w:p>
      </w:tc>
    </w:tr>
  </w:tbl>
  <w:tbl>
    <w:tblPr>
      <w:tblpPr w:leftFromText="142" w:rightFromText="142" w:vertAnchor="page" w:tblpY="2836"/>
      <w:tblOverlap w:val="never"/>
      <w:tblW w:w="6804" w:type="dxa"/>
      <w:tblLayout w:type="fixed"/>
      <w:tblCellMar>
        <w:right w:w="28" w:type="dxa"/>
      </w:tblCellMar>
      <w:tblLook w:val="01E0" w:firstRow="1" w:lastRow="1" w:firstColumn="1" w:lastColumn="1" w:noHBand="0" w:noVBand="0"/>
    </w:tblPr>
    <w:tblGrid>
      <w:gridCol w:w="6804"/>
    </w:tblGrid>
    <w:tr w:rsidR="00383D33" w:rsidRPr="005B25C5" w:rsidTr="00A26999">
      <w:trPr>
        <w:cantSplit/>
      </w:trPr>
      <w:tc>
        <w:tcPr>
          <w:tcW w:w="6804" w:type="dxa"/>
        </w:tcPr>
        <w:p w:rsidR="00B41486" w:rsidRPr="00C7002F" w:rsidRDefault="00B41486" w:rsidP="003435DC">
          <w:pPr>
            <w:pStyle w:val="Hlavika"/>
            <w:spacing w:line="240" w:lineRule="auto"/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p w:rsidR="00383D33" w:rsidRPr="00AB0A67" w:rsidRDefault="00D32AFD" w:rsidP="004D5686">
    <w:pPr>
      <w:rPr>
        <w:lang w:val="en-US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4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03B36" id="Line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Kz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VE2mYbe9MYV4FKpnQ3V0bN6NltNfzikdNUSdeCR48vFQGAWIpI3IUFxBjLs+6+agQ85eh0b&#10;dW5sFyChBegc53G5z4OfPaJwmT0sHtIpRnQwJaQY4ox1/gvXHQpCiSWQjrjktHU+8CDF4BLSKL0R&#10;UsZpS4X6Ei+mUGGwOC0FC8ao2MO+khadSNiX+MWi3rlZfVQsgrWcsPVN9kTIqwzJpQp4UAnQuUnX&#10;hfi5SBfr+Xqej/LJbD3K07oefd5U+Wi2yR6m9ae6qursV6CW5UUrGOMqsBuWM8v/bvi3Z3Jdq/t6&#10;3tuQvEWP/QKywz+SjqMM07vuwV6zy84OI4Z9jM63txMW/rUO8usXvvoNAAD//wMAUEsDBBQABgAI&#10;AAAAIQD0f54l3QAAAAsBAAAPAAAAZHJzL2Rvd25yZXYueG1sTI9BT8MwDIXvSPyHyEhcJpaswBil&#10;6YSA3rgwNnH1WtNWNE7XZFvh12MOCE6W33t6/pwtR9epAw2h9WxhNjWgiEtftVxbWL8WFwtQISJX&#10;2HkmC58UYJmfnmSYVv7IL3RYxVpJCYcULTQx9qnWoWzIYZj6nli8dz84jLIOta4GPEq563RizFw7&#10;bFkuNNjTQ0Plx2rvLIRiQ7via1JOzNtl7SnZPT4/obXnZ+P9HahIY/wLww++oEMuTFu/5yqozkKy&#10;uJKk6LNbcwNKEtdzmdtfReeZ/v9D/g0AAP//AwBQSwECLQAUAAYACAAAACEAtoM4kv4AAADhAQAA&#10;EwAAAAAAAAAAAAAAAAAAAAAAW0NvbnRlbnRfVHlwZXNdLnhtbFBLAQItABQABgAIAAAAIQA4/SH/&#10;1gAAAJQBAAALAAAAAAAAAAAAAAAAAC8BAABfcmVscy8ucmVsc1BLAQItABQABgAIAAAAIQDGxaKz&#10;EQIAACkEAAAOAAAAAAAAAAAAAAAAAC4CAABkcnMvZTJvRG9jLnhtbFBLAQItABQABgAIAAAAIQD0&#10;f54l3QAAAAsBAAAPAAAAAAAAAAAAAAAAAGsEAABkcnMvZG93bnJldi54bWxQSwUGAAAAAAQABADz&#10;AAAAdQUAAAAA&#10;" o:allowoverlap="f">
              <w10:wrap anchorx="page" anchory="page"/>
            </v:lin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2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4B1AC14B"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iu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F6E3vXElhKzUzobq6Fm9mK2m3x1SetUSdeCR4+vFQGIWMpI3KWHjDNyw7z9rBjHk6HVs&#10;1LmxXYCEFqBz1ONy14OfPaJwmD3Nn9IJRnRwJaQc8ox1/hPXHQpGhSWQjrjktHU+8CDlEBKuUXoj&#10;pIxqS4X6Cs8n+SQmOC0FC84Q5uxhv5IWnUiYl/jFosDzGGb1UbEI1nLC1jfbEyGvNlwuVcCDSoDO&#10;zboOxI95Ol/P1rNiVOTT9ahI63r0cbMqRtNN9jSpP9SrVZ39DNSyomwFY1wFdsNwZsXfiX97Jtex&#10;uo/nvQ3JW/TYLyA7/CPpKGVQ7zoHe80uOztIDPMYg29vJwz84x7sxxe+/AUAAP//AwBQSwMEFAAG&#10;AAgAAAAhAPNZKIjcAAAACQEAAA8AAABkcnMvZG93bnJldi54bWxMj01PwzAMhu9I/IfISFwmllLo&#10;GKXphIDeuDBAXL3GtBWN0zXZVvj1GAkJbv549PpxsZpcr/Y0hs6zgfN5Aoq49rbjxsDLc3W2BBUi&#10;ssXeMxn4pACr8viowNz6Az/Rfh0bJSEccjTQxjjkWoe6JYdh7gdi2b370WGUdmy0HfEg4a7XaZIs&#10;tMOO5UKLA921VH+sd85AqF5pW33N6lnydtF4Srf3jw9ozOnJdHsDKtIU/2D40Rd1KMVp43dsg+oN&#10;pMtLIQ1k15kUAmSLK1Cb34EuC/3/g/IbAAD//wMAUEsBAi0AFAAGAAgAAAAhALaDOJL+AAAA4QEA&#10;ABMAAAAAAAAAAAAAAAAAAAAAAFtDb250ZW50X1R5cGVzXS54bWxQSwECLQAUAAYACAAAACEAOP0h&#10;/9YAAACUAQAACwAAAAAAAAAAAAAAAAAvAQAAX3JlbHMvLnJlbHNQSwECLQAUAAYACAAAACEA7OVI&#10;rhMCAAApBAAADgAAAAAAAAAAAAAAAAAuAgAAZHJzL2Uyb0RvYy54bWxQSwECLQAUAAYACAAAACEA&#10;81koiNwAAAAJAQAADwAAAAAAAAAAAAAAAABtBAAAZHJzL2Rvd25yZXYueG1sUEsFBgAAAAAEAAQA&#10;8wAAAHYFAAAAAA==&#10;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5A0510C"/>
    <w:multiLevelType w:val="multilevel"/>
    <w:tmpl w:val="56D49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60042F6"/>
    <w:multiLevelType w:val="hybridMultilevel"/>
    <w:tmpl w:val="54001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2EA8"/>
    <w:multiLevelType w:val="hybridMultilevel"/>
    <w:tmpl w:val="55F868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759C7"/>
    <w:multiLevelType w:val="hybridMultilevel"/>
    <w:tmpl w:val="ECFAC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E17E0"/>
    <w:multiLevelType w:val="hybridMultilevel"/>
    <w:tmpl w:val="45E49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75209"/>
    <w:multiLevelType w:val="singleLevel"/>
    <w:tmpl w:val="05283DA0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8" w15:restartNumberingAfterBreak="0">
    <w:nsid w:val="7A1E2525"/>
    <w:multiLevelType w:val="hybridMultilevel"/>
    <w:tmpl w:val="8C84426A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CC"/>
    <w:rsid w:val="000273E4"/>
    <w:rsid w:val="00030D59"/>
    <w:rsid w:val="000331CC"/>
    <w:rsid w:val="0007159B"/>
    <w:rsid w:val="000B0ED3"/>
    <w:rsid w:val="000B25FA"/>
    <w:rsid w:val="000B34A9"/>
    <w:rsid w:val="000C14AB"/>
    <w:rsid w:val="000C6A31"/>
    <w:rsid w:val="000D04A2"/>
    <w:rsid w:val="000E0567"/>
    <w:rsid w:val="000F7A4C"/>
    <w:rsid w:val="001113A6"/>
    <w:rsid w:val="00115F51"/>
    <w:rsid w:val="00120657"/>
    <w:rsid w:val="001258B6"/>
    <w:rsid w:val="00134790"/>
    <w:rsid w:val="00164259"/>
    <w:rsid w:val="00173B3F"/>
    <w:rsid w:val="00174201"/>
    <w:rsid w:val="001752ED"/>
    <w:rsid w:val="00175326"/>
    <w:rsid w:val="00176BE8"/>
    <w:rsid w:val="001814C0"/>
    <w:rsid w:val="00184263"/>
    <w:rsid w:val="001866DF"/>
    <w:rsid w:val="001A0513"/>
    <w:rsid w:val="001B3D0A"/>
    <w:rsid w:val="001B50F6"/>
    <w:rsid w:val="001C7AD0"/>
    <w:rsid w:val="001D1F86"/>
    <w:rsid w:val="001D3978"/>
    <w:rsid w:val="001E1402"/>
    <w:rsid w:val="002008FB"/>
    <w:rsid w:val="00210D00"/>
    <w:rsid w:val="00213A43"/>
    <w:rsid w:val="00221010"/>
    <w:rsid w:val="00232339"/>
    <w:rsid w:val="0023346E"/>
    <w:rsid w:val="00235523"/>
    <w:rsid w:val="00237600"/>
    <w:rsid w:val="002518C7"/>
    <w:rsid w:val="00251EBC"/>
    <w:rsid w:val="00261E2A"/>
    <w:rsid w:val="00262B60"/>
    <w:rsid w:val="00262CC8"/>
    <w:rsid w:val="002640E0"/>
    <w:rsid w:val="002804FB"/>
    <w:rsid w:val="0028184B"/>
    <w:rsid w:val="00285BFD"/>
    <w:rsid w:val="00290F67"/>
    <w:rsid w:val="00295417"/>
    <w:rsid w:val="002D6F03"/>
    <w:rsid w:val="002E10BC"/>
    <w:rsid w:val="002F792D"/>
    <w:rsid w:val="003066A8"/>
    <w:rsid w:val="00307455"/>
    <w:rsid w:val="00312009"/>
    <w:rsid w:val="00313936"/>
    <w:rsid w:val="00313D25"/>
    <w:rsid w:val="00325835"/>
    <w:rsid w:val="00330F6C"/>
    <w:rsid w:val="003435DC"/>
    <w:rsid w:val="0034372C"/>
    <w:rsid w:val="003540D3"/>
    <w:rsid w:val="003558E0"/>
    <w:rsid w:val="00362583"/>
    <w:rsid w:val="00365B4E"/>
    <w:rsid w:val="00366B02"/>
    <w:rsid w:val="0036738A"/>
    <w:rsid w:val="0037233F"/>
    <w:rsid w:val="003774F9"/>
    <w:rsid w:val="00381D4E"/>
    <w:rsid w:val="00383D33"/>
    <w:rsid w:val="00384A84"/>
    <w:rsid w:val="00395589"/>
    <w:rsid w:val="003A2FF3"/>
    <w:rsid w:val="003A3F5E"/>
    <w:rsid w:val="003A5172"/>
    <w:rsid w:val="003B0117"/>
    <w:rsid w:val="003B602E"/>
    <w:rsid w:val="003D4369"/>
    <w:rsid w:val="003D7F8C"/>
    <w:rsid w:val="003F605C"/>
    <w:rsid w:val="004036DC"/>
    <w:rsid w:val="00405F99"/>
    <w:rsid w:val="00427CE9"/>
    <w:rsid w:val="00450C1B"/>
    <w:rsid w:val="0045494F"/>
    <w:rsid w:val="00454CA0"/>
    <w:rsid w:val="00465E99"/>
    <w:rsid w:val="00480094"/>
    <w:rsid w:val="004904E5"/>
    <w:rsid w:val="0049441B"/>
    <w:rsid w:val="004C67BE"/>
    <w:rsid w:val="004C7D45"/>
    <w:rsid w:val="004D5686"/>
    <w:rsid w:val="004D5699"/>
    <w:rsid w:val="004D7B4B"/>
    <w:rsid w:val="004E026F"/>
    <w:rsid w:val="004E6C1E"/>
    <w:rsid w:val="004E70DF"/>
    <w:rsid w:val="004F02E7"/>
    <w:rsid w:val="004F1B09"/>
    <w:rsid w:val="005023E4"/>
    <w:rsid w:val="00507303"/>
    <w:rsid w:val="0051079A"/>
    <w:rsid w:val="00512F4F"/>
    <w:rsid w:val="005144A5"/>
    <w:rsid w:val="00523931"/>
    <w:rsid w:val="00550767"/>
    <w:rsid w:val="00555C77"/>
    <w:rsid w:val="00567855"/>
    <w:rsid w:val="00573241"/>
    <w:rsid w:val="005817FF"/>
    <w:rsid w:val="00584850"/>
    <w:rsid w:val="00590139"/>
    <w:rsid w:val="00592B36"/>
    <w:rsid w:val="005A1158"/>
    <w:rsid w:val="005A52DC"/>
    <w:rsid w:val="005A7694"/>
    <w:rsid w:val="005B25C5"/>
    <w:rsid w:val="005B2C28"/>
    <w:rsid w:val="005B7BB8"/>
    <w:rsid w:val="005C121F"/>
    <w:rsid w:val="005C3826"/>
    <w:rsid w:val="005C4C5C"/>
    <w:rsid w:val="005E6F63"/>
    <w:rsid w:val="005F146D"/>
    <w:rsid w:val="0062351E"/>
    <w:rsid w:val="00636171"/>
    <w:rsid w:val="00636C52"/>
    <w:rsid w:val="0064016B"/>
    <w:rsid w:val="00644770"/>
    <w:rsid w:val="006504B5"/>
    <w:rsid w:val="00654337"/>
    <w:rsid w:val="00655612"/>
    <w:rsid w:val="00665F97"/>
    <w:rsid w:val="00684B2A"/>
    <w:rsid w:val="00690BA3"/>
    <w:rsid w:val="006949DC"/>
    <w:rsid w:val="00696178"/>
    <w:rsid w:val="00697B01"/>
    <w:rsid w:val="006A0D49"/>
    <w:rsid w:val="006B382A"/>
    <w:rsid w:val="006D098E"/>
    <w:rsid w:val="006D27E1"/>
    <w:rsid w:val="006E770B"/>
    <w:rsid w:val="006F636C"/>
    <w:rsid w:val="006F71C5"/>
    <w:rsid w:val="00700E86"/>
    <w:rsid w:val="007031CD"/>
    <w:rsid w:val="00704259"/>
    <w:rsid w:val="00725B30"/>
    <w:rsid w:val="007364AB"/>
    <w:rsid w:val="007417E8"/>
    <w:rsid w:val="007420C6"/>
    <w:rsid w:val="00742396"/>
    <w:rsid w:val="00742D7D"/>
    <w:rsid w:val="00754986"/>
    <w:rsid w:val="0076146B"/>
    <w:rsid w:val="00780780"/>
    <w:rsid w:val="00785F1C"/>
    <w:rsid w:val="007A599F"/>
    <w:rsid w:val="007A6126"/>
    <w:rsid w:val="007B19BD"/>
    <w:rsid w:val="007C7E5F"/>
    <w:rsid w:val="007E0B55"/>
    <w:rsid w:val="007F1EBF"/>
    <w:rsid w:val="007F7701"/>
    <w:rsid w:val="00832934"/>
    <w:rsid w:val="00835D09"/>
    <w:rsid w:val="008365A8"/>
    <w:rsid w:val="00842B5A"/>
    <w:rsid w:val="00863891"/>
    <w:rsid w:val="00863EE8"/>
    <w:rsid w:val="008730A7"/>
    <w:rsid w:val="00874C30"/>
    <w:rsid w:val="008774ED"/>
    <w:rsid w:val="00877537"/>
    <w:rsid w:val="0088052A"/>
    <w:rsid w:val="00882989"/>
    <w:rsid w:val="00892620"/>
    <w:rsid w:val="008A46C7"/>
    <w:rsid w:val="008B1065"/>
    <w:rsid w:val="008B31EB"/>
    <w:rsid w:val="008B75CC"/>
    <w:rsid w:val="008C2234"/>
    <w:rsid w:val="008C3C80"/>
    <w:rsid w:val="008E37BF"/>
    <w:rsid w:val="008E3868"/>
    <w:rsid w:val="008E3E3D"/>
    <w:rsid w:val="008E5CBE"/>
    <w:rsid w:val="008E653E"/>
    <w:rsid w:val="008F3DB7"/>
    <w:rsid w:val="008F42E7"/>
    <w:rsid w:val="008F7352"/>
    <w:rsid w:val="00906FA0"/>
    <w:rsid w:val="009110A5"/>
    <w:rsid w:val="0091204C"/>
    <w:rsid w:val="0091306F"/>
    <w:rsid w:val="009139BD"/>
    <w:rsid w:val="00917067"/>
    <w:rsid w:val="00924340"/>
    <w:rsid w:val="00931F27"/>
    <w:rsid w:val="009344CB"/>
    <w:rsid w:val="00941346"/>
    <w:rsid w:val="009527C5"/>
    <w:rsid w:val="009553A4"/>
    <w:rsid w:val="00957E6C"/>
    <w:rsid w:val="00980013"/>
    <w:rsid w:val="009814A2"/>
    <w:rsid w:val="0098387B"/>
    <w:rsid w:val="009864FD"/>
    <w:rsid w:val="00991235"/>
    <w:rsid w:val="00992EA1"/>
    <w:rsid w:val="0099500C"/>
    <w:rsid w:val="00995825"/>
    <w:rsid w:val="00995B22"/>
    <w:rsid w:val="00997AC5"/>
    <w:rsid w:val="009A1DEC"/>
    <w:rsid w:val="009A6271"/>
    <w:rsid w:val="009C4A3F"/>
    <w:rsid w:val="009C61B6"/>
    <w:rsid w:val="009F0470"/>
    <w:rsid w:val="00A0621C"/>
    <w:rsid w:val="00A12DCC"/>
    <w:rsid w:val="00A13CE5"/>
    <w:rsid w:val="00A26999"/>
    <w:rsid w:val="00A30444"/>
    <w:rsid w:val="00A30785"/>
    <w:rsid w:val="00A445E1"/>
    <w:rsid w:val="00A47E84"/>
    <w:rsid w:val="00A6045E"/>
    <w:rsid w:val="00A64737"/>
    <w:rsid w:val="00A749CB"/>
    <w:rsid w:val="00A84AB2"/>
    <w:rsid w:val="00AB0A67"/>
    <w:rsid w:val="00AC0588"/>
    <w:rsid w:val="00AD79C7"/>
    <w:rsid w:val="00AD7D6A"/>
    <w:rsid w:val="00AE4585"/>
    <w:rsid w:val="00AF0F7F"/>
    <w:rsid w:val="00B06E35"/>
    <w:rsid w:val="00B12A44"/>
    <w:rsid w:val="00B14DA0"/>
    <w:rsid w:val="00B24EF2"/>
    <w:rsid w:val="00B41486"/>
    <w:rsid w:val="00B41CB1"/>
    <w:rsid w:val="00B43E2F"/>
    <w:rsid w:val="00B45039"/>
    <w:rsid w:val="00B53ECD"/>
    <w:rsid w:val="00B54B53"/>
    <w:rsid w:val="00B54E93"/>
    <w:rsid w:val="00B7581F"/>
    <w:rsid w:val="00B84C52"/>
    <w:rsid w:val="00B91D17"/>
    <w:rsid w:val="00B92D5A"/>
    <w:rsid w:val="00BB30D6"/>
    <w:rsid w:val="00BB5D9C"/>
    <w:rsid w:val="00BC1E80"/>
    <w:rsid w:val="00BC2108"/>
    <w:rsid w:val="00BC6CE7"/>
    <w:rsid w:val="00BD3C61"/>
    <w:rsid w:val="00BE2628"/>
    <w:rsid w:val="00BE728A"/>
    <w:rsid w:val="00BF7A7A"/>
    <w:rsid w:val="00C02197"/>
    <w:rsid w:val="00C15EDC"/>
    <w:rsid w:val="00C23A84"/>
    <w:rsid w:val="00C24E57"/>
    <w:rsid w:val="00C319A5"/>
    <w:rsid w:val="00C33E61"/>
    <w:rsid w:val="00C4277B"/>
    <w:rsid w:val="00C44A8B"/>
    <w:rsid w:val="00C512DA"/>
    <w:rsid w:val="00C7002F"/>
    <w:rsid w:val="00C72EE5"/>
    <w:rsid w:val="00C83BFF"/>
    <w:rsid w:val="00C840B6"/>
    <w:rsid w:val="00CA2CCC"/>
    <w:rsid w:val="00CB03BF"/>
    <w:rsid w:val="00CB0B01"/>
    <w:rsid w:val="00CB195E"/>
    <w:rsid w:val="00CB6785"/>
    <w:rsid w:val="00CD1BD3"/>
    <w:rsid w:val="00CD24D6"/>
    <w:rsid w:val="00CD5FFB"/>
    <w:rsid w:val="00CD76DA"/>
    <w:rsid w:val="00CE543A"/>
    <w:rsid w:val="00CF008E"/>
    <w:rsid w:val="00CF5FCD"/>
    <w:rsid w:val="00D01197"/>
    <w:rsid w:val="00D033BC"/>
    <w:rsid w:val="00D2215A"/>
    <w:rsid w:val="00D32AFD"/>
    <w:rsid w:val="00D3636A"/>
    <w:rsid w:val="00D470B8"/>
    <w:rsid w:val="00D50B9D"/>
    <w:rsid w:val="00D57238"/>
    <w:rsid w:val="00D61A6C"/>
    <w:rsid w:val="00D672C4"/>
    <w:rsid w:val="00D67CC0"/>
    <w:rsid w:val="00D7150E"/>
    <w:rsid w:val="00D720D5"/>
    <w:rsid w:val="00D850C5"/>
    <w:rsid w:val="00D8784F"/>
    <w:rsid w:val="00D957E1"/>
    <w:rsid w:val="00D97096"/>
    <w:rsid w:val="00DA6357"/>
    <w:rsid w:val="00DB10E3"/>
    <w:rsid w:val="00DB7333"/>
    <w:rsid w:val="00DC46F8"/>
    <w:rsid w:val="00DD0CC4"/>
    <w:rsid w:val="00DE4E3C"/>
    <w:rsid w:val="00DE63B2"/>
    <w:rsid w:val="00DE683A"/>
    <w:rsid w:val="00DF3967"/>
    <w:rsid w:val="00DF3B7D"/>
    <w:rsid w:val="00DF4D6F"/>
    <w:rsid w:val="00E0471D"/>
    <w:rsid w:val="00E100E1"/>
    <w:rsid w:val="00E154BC"/>
    <w:rsid w:val="00E1716C"/>
    <w:rsid w:val="00E45239"/>
    <w:rsid w:val="00E50C42"/>
    <w:rsid w:val="00E5602D"/>
    <w:rsid w:val="00E56782"/>
    <w:rsid w:val="00E84711"/>
    <w:rsid w:val="00E84E69"/>
    <w:rsid w:val="00E9594B"/>
    <w:rsid w:val="00EA238A"/>
    <w:rsid w:val="00EA419C"/>
    <w:rsid w:val="00EA547B"/>
    <w:rsid w:val="00EC1073"/>
    <w:rsid w:val="00EC358E"/>
    <w:rsid w:val="00ED6878"/>
    <w:rsid w:val="00EF0449"/>
    <w:rsid w:val="00EF781B"/>
    <w:rsid w:val="00F02DF1"/>
    <w:rsid w:val="00F172D8"/>
    <w:rsid w:val="00F3420D"/>
    <w:rsid w:val="00F43602"/>
    <w:rsid w:val="00F475AE"/>
    <w:rsid w:val="00F6179C"/>
    <w:rsid w:val="00F71204"/>
    <w:rsid w:val="00F752BF"/>
    <w:rsid w:val="00F77A04"/>
    <w:rsid w:val="00F94805"/>
    <w:rsid w:val="00FB0A97"/>
    <w:rsid w:val="00FB1A1F"/>
    <w:rsid w:val="00FB420F"/>
    <w:rsid w:val="00FD251B"/>
    <w:rsid w:val="00FD2A11"/>
    <w:rsid w:val="00FD2F6B"/>
    <w:rsid w:val="00FD7CA3"/>
    <w:rsid w:val="00FE5E98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6509F"/>
  <w15:docId w15:val="{343F4AFC-9F4D-48D7-8708-1FF3C527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4C5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szCs w:val="20"/>
      <w:lang w:val="de-DE" w:eastAsia="de-DE"/>
    </w:rPr>
  </w:style>
  <w:style w:type="paragraph" w:styleId="Nadpis1">
    <w:name w:val="heading 1"/>
    <w:basedOn w:val="Normlny"/>
    <w:next w:val="Normlny"/>
    <w:qFormat/>
    <w:rsid w:val="00381D4E"/>
    <w:pPr>
      <w:keepNext/>
      <w:spacing w:before="240" w:after="60"/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qFormat/>
    <w:rsid w:val="00381D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381D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81D4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81D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81D4E"/>
    <w:rPr>
      <w:rFonts w:ascii="Arial" w:hAnsi="Arial"/>
      <w:sz w:val="20"/>
    </w:rPr>
  </w:style>
  <w:style w:type="character" w:styleId="Hypertextovprepojenie">
    <w:name w:val="Hyperlink"/>
    <w:basedOn w:val="Predvolenpsmoodseku"/>
    <w:rsid w:val="00381D4E"/>
    <w:rPr>
      <w:color w:val="0000FF"/>
      <w:u w:val="single"/>
    </w:rPr>
  </w:style>
  <w:style w:type="table" w:styleId="Mriekatabuky">
    <w:name w:val="Table Grid"/>
    <w:basedOn w:val="Normlnatabuka"/>
    <w:rsid w:val="00381D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381D4E"/>
    <w:rPr>
      <w:rFonts w:ascii="Tahoma" w:hAnsi="Tahoma" w:cs="Tahoma"/>
      <w:sz w:val="16"/>
      <w:szCs w:val="16"/>
    </w:rPr>
  </w:style>
  <w:style w:type="paragraph" w:styleId="Textvysvetlivky">
    <w:name w:val="endnote text"/>
    <w:basedOn w:val="Normlny"/>
    <w:semiHidden/>
    <w:rsid w:val="00381D4E"/>
  </w:style>
  <w:style w:type="character" w:styleId="Odkaznavysvetlivku">
    <w:name w:val="endnote reference"/>
    <w:basedOn w:val="Predvolenpsmoodseku"/>
    <w:semiHidden/>
    <w:rsid w:val="00381D4E"/>
    <w:rPr>
      <w:vertAlign w:val="superscript"/>
    </w:rPr>
  </w:style>
  <w:style w:type="character" w:customStyle="1" w:styleId="PtaChar">
    <w:name w:val="Päta Char"/>
    <w:basedOn w:val="Predvolenpsmoodseku"/>
    <w:link w:val="Pta"/>
    <w:rsid w:val="00512F4F"/>
    <w:rPr>
      <w:rFonts w:ascii="Arial" w:hAnsi="Arial"/>
      <w:sz w:val="22"/>
    </w:rPr>
  </w:style>
  <w:style w:type="character" w:customStyle="1" w:styleId="HlavikaChar">
    <w:name w:val="Hlavička Char"/>
    <w:basedOn w:val="Predvolenpsmoodseku"/>
    <w:link w:val="Hlavika"/>
    <w:rsid w:val="008365A8"/>
    <w:rPr>
      <w:sz w:val="20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CA2CC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qFormat/>
    <w:rsid w:val="00BB30D6"/>
    <w:pPr>
      <w:ind w:left="720"/>
      <w:contextualSpacing/>
    </w:pPr>
  </w:style>
  <w:style w:type="character" w:customStyle="1" w:styleId="iadneA">
    <w:name w:val="Žiadne A"/>
    <w:rsid w:val="00DF4D6F"/>
    <w:rPr>
      <w:lang w:val="en-US"/>
    </w:rPr>
  </w:style>
  <w:style w:type="paragraph" w:customStyle="1" w:styleId="TeloB">
    <w:name w:val="Telo B"/>
    <w:rsid w:val="00DF4D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Helvetica"/>
      <w:color w:val="000000"/>
      <w:szCs w:val="22"/>
      <w:u w:color="000000"/>
      <w:lang w:val="sk-SK" w:eastAsia="sk-SK"/>
    </w:rPr>
  </w:style>
  <w:style w:type="paragraph" w:customStyle="1" w:styleId="Bezriadkovania1">
    <w:name w:val="Bez riadkovania1"/>
    <w:rsid w:val="00134790"/>
    <w:rPr>
      <w:rFonts w:ascii="Calibri" w:hAnsi="Calibri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za-mi\AppData\Local\Temp\7zO88F2DA48\Appendix%20C.6.1_Section%203.1%20Letterhead_Word%20(en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053B-A9F4-4A6D-A17A-FD219A94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C.6.1_Section 3.1 Letterhead_Word (en)</Template>
  <TotalTime>13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SÜD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turza-mi</dc:creator>
  <cp:lastModifiedBy>Spravca</cp:lastModifiedBy>
  <cp:revision>3</cp:revision>
  <cp:lastPrinted>2005-07-12T10:30:00Z</cp:lastPrinted>
  <dcterms:created xsi:type="dcterms:W3CDTF">2018-12-04T17:52:00Z</dcterms:created>
  <dcterms:modified xsi:type="dcterms:W3CDTF">2018-12-04T18:11:00Z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{5be83906-d34b-417a-8ac2-efa8c44dcff1}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
    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03/06/2018 16:47:23</vt:lpwstr>
  </property>
  <property fmtid="{D5CDD505-2E9C-101B-9397-08002B2CF9AE}" pid="14" name="eSynDocVersion">
    <vt:lpwstr>1</vt:lpwstr>
  </property>
  <property fmtid="{D5CDD505-2E9C-101B-9397-08002B2CF9AE}" pid="15" name="eSynDocAttachFileName">
    <vt:lpwstr>Hlavičkový papier_EN.docx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2</vt:lpwstr>
  </property>
  <property fmtid="{D5CDD505-2E9C-101B-9397-08002B2CF9AE}" pid="19" name="eSynDocSerialNumber">
    <vt:lpwstr>
    </vt:lpwstr>
  </property>
  <property fmtid="{D5CDD505-2E9C-101B-9397-08002B2CF9AE}" pid="20" name="eSynDocSubject">
    <vt:lpwstr>25 výročie TÜV SÜD Slovakia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
    </vt:lpwstr>
  </property>
  <property fmtid="{D5CDD505-2E9C-101B-9397-08002B2CF9AE}" pid="27" name="eSynDocSecurity">
    <vt:lpwstr>20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SK</vt:lpwstr>
  </property>
  <property fmtid="{D5CDD505-2E9C-101B-9397-08002B2CF9AE}" pid="30" name="eSynDocDivisionDesc">
    <vt:lpwstr>TÜV SÜD Slovakia s.r.o</vt:lpwstr>
  </property>
  <property fmtid="{D5CDD505-2E9C-101B-9397-08002B2CF9AE}" pid="31" name="eSynDocDivision">
    <vt:lpwstr>165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304106</vt:lpwstr>
  </property>
  <property fmtid="{D5CDD505-2E9C-101B-9397-08002B2CF9AE}" pid="38" name="eSynCleanUp11/09/2018 09:57:35">
    <vt:i4>1</vt:i4>
  </property>
</Properties>
</file>