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F00A89">
        <w:rPr>
          <w:rFonts w:ascii="Arial Narrow" w:hAnsi="Arial Narrow" w:cs="Arial"/>
          <w:sz w:val="22"/>
          <w:szCs w:val="22"/>
        </w:rPr>
        <w:t xml:space="preserve">, </w:t>
      </w:r>
      <w:r w:rsidR="00006731" w:rsidRPr="00F00A89">
        <w:rPr>
          <w:rFonts w:ascii="Arial Narrow" w:hAnsi="Arial Narrow" w:cs="Arial"/>
          <w:sz w:val="22"/>
          <w:szCs w:val="22"/>
        </w:rPr>
        <w:t xml:space="preserve">s uplatnením § 66 ods. 7 </w:t>
      </w:r>
      <w:r w:rsidR="00460BC6" w:rsidRPr="00F00A89">
        <w:rPr>
          <w:rFonts w:ascii="Arial Narrow" w:hAnsi="Arial Narrow" w:cs="Arial"/>
          <w:sz w:val="22"/>
          <w:szCs w:val="22"/>
        </w:rPr>
        <w:t>druhej</w:t>
      </w:r>
      <w:r w:rsidR="00410009" w:rsidRPr="00F00A89">
        <w:rPr>
          <w:rFonts w:ascii="Arial Narrow" w:hAnsi="Arial Narrow" w:cs="Arial"/>
          <w:sz w:val="22"/>
          <w:szCs w:val="22"/>
        </w:rPr>
        <w:t xml:space="preserve"> vety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67561C5" w:rsidR="00065F6B" w:rsidRPr="00D83531" w:rsidRDefault="00F00A89" w:rsidP="009B3C19">
      <w:pPr>
        <w:spacing w:after="0" w:line="240" w:lineRule="auto"/>
        <w:jc w:val="center"/>
        <w:rPr>
          <w:rFonts w:ascii="Arial Narrow" w:hAnsi="Arial Narrow" w:cs="Arial"/>
          <w:b/>
          <w:noProof/>
          <w:sz w:val="36"/>
          <w:szCs w:val="36"/>
          <w:lang w:eastAsia="sk-SK"/>
        </w:rPr>
      </w:pPr>
      <w:bookmarkStart w:id="0" w:name="nazov"/>
      <w:bookmarkEnd w:id="0"/>
      <w:r w:rsidRPr="005112D3">
        <w:rPr>
          <w:rFonts w:ascii="Arial Narrow" w:hAnsi="Arial Narrow" w:cs="Arial"/>
          <w:b/>
          <w:bCs/>
          <w:sz w:val="30"/>
        </w:rPr>
        <w:t>Zabezpečenie HW a SW infraštruktúry a LAN/WAN infraštruktúry v datacentrách Ministerstva vnútra SR.</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0699AC66" w:rsidR="00877A4D" w:rsidRPr="00D83531" w:rsidRDefault="00E1377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29C2696C" w14:textId="6D4766A8" w:rsidR="00877A4D" w:rsidRPr="00D83531" w:rsidRDefault="00F00A89" w:rsidP="00F00A89">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Ing. Tomáš Kundrát</w:t>
      </w:r>
    </w:p>
    <w:p w14:paraId="22531F04" w14:textId="279D5164" w:rsidR="00E13779" w:rsidRPr="00D83531" w:rsidRDefault="00E1377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43542528" w:rsidR="00877A4D" w:rsidRPr="00D83531" w:rsidRDefault="00F00A8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73E0E0AC" w14:textId="035AA03E" w:rsidR="00E13779" w:rsidRPr="00F00A89" w:rsidRDefault="00363047" w:rsidP="00F00A89">
      <w:pPr>
        <w:pStyle w:val="Zkladntext3"/>
        <w:tabs>
          <w:tab w:val="center" w:pos="6804"/>
        </w:tabs>
        <w:spacing w:after="0" w:line="240" w:lineRule="auto"/>
        <w:ind w:left="4820" w:right="-45"/>
        <w:jc w:val="center"/>
        <w:rPr>
          <w:rFonts w:ascii="Arial Narrow" w:hAnsi="Arial Narrow" w:cs="Arial"/>
          <w:sz w:val="22"/>
          <w:szCs w:val="22"/>
          <w:highlight w:val="yellow"/>
        </w:rPr>
      </w:pPr>
      <w:r w:rsidRPr="00363047">
        <w:rPr>
          <w:rFonts w:ascii="Arial Narrow" w:hAnsi="Arial Narrow" w:cs="Arial"/>
          <w:sz w:val="22"/>
          <w:szCs w:val="22"/>
        </w:rPr>
        <w:t>Ing. Pavol Maliarik</w:t>
      </w:r>
    </w:p>
    <w:p w14:paraId="3E8B7341" w14:textId="39FAC2F5" w:rsidR="00F00A89" w:rsidRPr="00D83531" w:rsidRDefault="00363047" w:rsidP="00F00A89">
      <w:pPr>
        <w:pStyle w:val="Zkladntext3"/>
        <w:tabs>
          <w:tab w:val="center" w:pos="6804"/>
        </w:tabs>
        <w:spacing w:after="0" w:line="240" w:lineRule="auto"/>
        <w:ind w:left="4820" w:right="-45"/>
        <w:jc w:val="center"/>
        <w:rPr>
          <w:rFonts w:ascii="Arial Narrow" w:hAnsi="Arial Narrow" w:cs="Arial"/>
          <w:sz w:val="22"/>
          <w:szCs w:val="22"/>
        </w:rPr>
      </w:pPr>
      <w:r w:rsidRPr="00363047">
        <w:rPr>
          <w:rFonts w:ascii="Arial Narrow" w:hAnsi="Arial Narrow" w:cs="Arial"/>
          <w:sz w:val="22"/>
        </w:rPr>
        <w:t>riaditeľ odboru systémov a</w:t>
      </w:r>
      <w:r>
        <w:rPr>
          <w:rFonts w:ascii="Arial Narrow" w:hAnsi="Arial Narrow" w:cs="Arial"/>
          <w:sz w:val="22"/>
        </w:rPr>
        <w:t> </w:t>
      </w:r>
      <w:r w:rsidRPr="00363047">
        <w:rPr>
          <w:rFonts w:ascii="Arial Narrow" w:hAnsi="Arial Narrow" w:cs="Arial"/>
          <w:sz w:val="22"/>
        </w:rPr>
        <w:t>komunikácií</w:t>
      </w:r>
      <w:r>
        <w:rPr>
          <w:rFonts w:ascii="Arial Narrow" w:hAnsi="Arial Narrow" w:cs="Arial"/>
          <w:sz w:val="22"/>
        </w:rPr>
        <w:t xml:space="preserve"> </w:t>
      </w:r>
      <w:r w:rsidR="00F00A89" w:rsidRPr="00363047">
        <w:rPr>
          <w:rFonts w:ascii="Arial Narrow" w:hAnsi="Arial Narrow" w:cs="Arial"/>
          <w:sz w:val="22"/>
        </w:rPr>
        <w:t>SITB MV SR</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6741C3AC" w:rsidR="00877A4D" w:rsidRPr="00D83531" w:rsidRDefault="00F00A8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6FD563BD" w14:textId="50F8F722" w:rsidR="00877A4D" w:rsidRPr="00D83531" w:rsidRDefault="00E1377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86035B4" w14:textId="2DB4E0BB" w:rsidR="00E13779" w:rsidRPr="00D83531" w:rsidRDefault="00E13779" w:rsidP="00F00A89">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sidR="00F00A89">
        <w:rPr>
          <w:rFonts w:ascii="Arial Narrow" w:hAnsi="Arial Narrow" w:cs="Arial"/>
          <w:sz w:val="22"/>
          <w:szCs w:val="22"/>
        </w:rPr>
        <w:t>ľ odboru verejného obstarávania</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221F3FB0"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F00A89">
        <w:rPr>
          <w:rFonts w:ascii="Arial Narrow" w:hAnsi="Arial Narrow" w:cs="Arial"/>
          <w:sz w:val="22"/>
          <w:szCs w:val="22"/>
        </w:rPr>
        <w:t>Február 2022</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25C47AFB"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F00A89">
        <w:rPr>
          <w:rFonts w:ascii="Arial Narrow" w:hAnsi="Arial Narrow"/>
          <w:szCs w:val="20"/>
        </w:rPr>
        <w:t xml:space="preserve"> / vlastný návrh plnenia</w:t>
      </w:r>
    </w:p>
    <w:p w14:paraId="416F6973" w14:textId="35804F2B"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F00A89">
        <w:rPr>
          <w:rFonts w:ascii="Arial Narrow" w:hAnsi="Arial Narrow"/>
          <w:szCs w:val="20"/>
        </w:rPr>
        <w:t>Zmluvy o dielo</w:t>
      </w:r>
    </w:p>
    <w:p w14:paraId="3F95A9D3" w14:textId="297DB9A5"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399D10CE"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3CBDCA60" w:rsidR="00567F8D" w:rsidRPr="000766EB"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F00A89">
        <w:rPr>
          <w:rFonts w:ascii="Arial Narrow" w:hAnsi="Arial Narrow"/>
          <w:szCs w:val="20"/>
        </w:rPr>
        <w:t>Čestné vyhlásenie</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777777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77777777"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Na bezproblémové používanie systému JOSEPHINE je nutné používať jeden z podporovaných internetových prehliadačov:</w:t>
      </w:r>
    </w:p>
    <w:p w14:paraId="4A2CAED2"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Internet Explorer verzia 11.0 a vyššia,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7777777"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33B1B17" w14:textId="7777777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3D8B2862" w14:textId="77777777"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 systéme JOSEPHINE v súlade s funkcionalitou systému.</w:t>
      </w:r>
    </w:p>
    <w:p w14:paraId="1E990827" w14:textId="1AE3DB6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326401BD" w14:textId="3BFB009D"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v systéme  JOSEPHINE a požaduje, aby ich záujemcovia zapracovali do svojich ponúk.</w:t>
      </w:r>
    </w:p>
    <w:p w14:paraId="6FDA7DC2" w14:textId="77777777"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systému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77777777"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Žiadosť o nápravu môže žiadateľ podať v elektronickej podobe prostredníctvom systému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7777777" w:rsidR="009D7FDF"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v elektronickej podobe funkcionalitou informačného systému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77777777"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Ďalšie informácie o používaní systému JOSEPHINE sú uvedené v na webovom sídle systému</w:t>
      </w:r>
      <w:r w:rsidR="00833952"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7777777"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77777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"Informačný systém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Pr="00BF72C1">
        <w:rPr>
          <w:rFonts w:ascii="Arial Narrow" w:hAnsi="Arial Narrow" w:cs="Calibri"/>
          <w:sz w:val="22"/>
        </w:rPr>
        <w:t xml:space="preserve"> systéme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systému JOSEPHINE a to v pracovných dňoch v čase 8.00 – 16.00 hod. O dokončení autentifikácie je uchádzač informovaný e-mailom. </w:t>
      </w:r>
    </w:p>
    <w:p w14:paraId="4B900B8D"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017FA95"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62F52894"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722298BE" w14:textId="77777777"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 xml:space="preserve">počkaním na autentifikačný kód, ktorý bude poslaný na adresu sídla firmy do rúk štatutára uchádzača v listovej podobe formou doporučenej pošty. Lehota na tento úkon sú obvykle   4 pracovné dni (v rámci </w:t>
      </w:r>
      <w:r w:rsidRPr="003C022D">
        <w:rPr>
          <w:rFonts w:ascii="Arial Narrow" w:hAnsi="Arial Narrow" w:cs="Calibri"/>
          <w:sz w:val="22"/>
        </w:rPr>
        <w:lastRenderedPageBreak/>
        <w:t>Európskej únie) a je potrebné s touto lehotou počítať pri vkladaní ponuky. O odoslaní listovej zásielky je uchádzač informovaný e-mailom.</w:t>
      </w:r>
    </w:p>
    <w:p w14:paraId="344AAF34"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3030333C"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systému 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417C730" w:rsidR="00812C26" w:rsidRPr="000A35D5" w:rsidRDefault="00A0357F" w:rsidP="00F00A89">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F00A89" w:rsidRPr="00F00A89">
        <w:rPr>
          <w:rFonts w:ascii="Arial Narrow" w:hAnsi="Arial Narrow" w:cs="Arial"/>
          <w:b/>
          <w:bCs/>
          <w:szCs w:val="16"/>
          <w:lang w:val="sk-SK"/>
        </w:rPr>
        <w:t>Zabezpečenie HW a SW infraštruktúry a LAN/WAN infraštruktúry v datacentrách Ministerstva vnútra SR</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236C228A"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00F00A89">
        <w:rPr>
          <w:rFonts w:ascii="Arial Narrow" w:hAnsi="Arial Narrow" w:cs="Arial"/>
          <w:sz w:val="22"/>
          <w:lang w:eastAsia="sk-SK"/>
        </w:rPr>
        <w:t xml:space="preserve"> </w:t>
      </w:r>
      <w:r w:rsidRPr="000A35D5">
        <w:rPr>
          <w:rFonts w:ascii="Arial Narrow" w:hAnsi="Arial Narrow" w:cs="Arial"/>
          <w:sz w:val="22"/>
          <w:lang w:eastAsia="sk-SK"/>
        </w:rPr>
        <w:t>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18A73262" w:rsidR="00130CF0" w:rsidRPr="0030234D" w:rsidRDefault="00F00A89" w:rsidP="007B12A5">
      <w:pPr>
        <w:pStyle w:val="Zkladntext3"/>
        <w:numPr>
          <w:ilvl w:val="1"/>
          <w:numId w:val="23"/>
        </w:numPr>
        <w:spacing w:after="0" w:line="240" w:lineRule="auto"/>
        <w:ind w:left="567" w:hanging="567"/>
        <w:jc w:val="both"/>
        <w:rPr>
          <w:rFonts w:ascii="Arial Narrow" w:hAnsi="Arial Narrow" w:cs="Arial"/>
        </w:rPr>
      </w:pPr>
      <w:bookmarkStart w:id="8" w:name="urcite_vsetko"/>
      <w:bookmarkEnd w:id="8"/>
      <w:r>
        <w:rPr>
          <w:rFonts w:ascii="Arial Narrow" w:hAnsi="Arial Narrow" w:cs="Arial"/>
          <w:sz w:val="22"/>
          <w:szCs w:val="22"/>
        </w:rPr>
        <w:t>Predmet zákazky</w:t>
      </w:r>
      <w:r w:rsidR="00130CF0" w:rsidRPr="00BD2194">
        <w:rPr>
          <w:rFonts w:ascii="Arial Narrow" w:hAnsi="Arial Narrow" w:cs="Arial"/>
          <w:sz w:val="22"/>
          <w:szCs w:val="22"/>
        </w:rPr>
        <w:t xml:space="preserve"> </w:t>
      </w:r>
      <w:r w:rsidR="00130CF0" w:rsidRPr="0030234D">
        <w:rPr>
          <w:rFonts w:ascii="Arial Narrow" w:hAnsi="Arial Narrow" w:cs="Arial"/>
          <w:b/>
          <w:sz w:val="22"/>
          <w:szCs w:val="22"/>
          <w:u w:val="single"/>
        </w:rPr>
        <w:t>je rozdelený na časti</w:t>
      </w:r>
      <w:r w:rsidR="00130CF0" w:rsidRPr="00BD2194">
        <w:rPr>
          <w:rFonts w:ascii="Arial Narrow" w:hAnsi="Arial Narrow" w:cs="Arial"/>
          <w:sz w:val="22"/>
          <w:szCs w:val="22"/>
        </w:rPr>
        <w:t xml:space="preserve">. Záujemca </w:t>
      </w:r>
      <w:r w:rsidR="0030234D">
        <w:rPr>
          <w:rFonts w:ascii="Arial Narrow" w:hAnsi="Arial Narrow" w:cs="Arial"/>
          <w:sz w:val="22"/>
          <w:szCs w:val="22"/>
        </w:rPr>
        <w:t>môže</w:t>
      </w:r>
      <w:r w:rsidR="00130CF0" w:rsidRPr="00BD2194">
        <w:rPr>
          <w:rFonts w:ascii="Arial Narrow" w:hAnsi="Arial Narrow" w:cs="Arial"/>
          <w:sz w:val="22"/>
          <w:szCs w:val="22"/>
        </w:rPr>
        <w:t xml:space="preserve"> predložiť ponuku </w:t>
      </w:r>
      <w:r w:rsidR="0030234D">
        <w:rPr>
          <w:rFonts w:ascii="Arial Narrow" w:hAnsi="Arial Narrow" w:cs="Arial"/>
          <w:sz w:val="22"/>
          <w:szCs w:val="22"/>
        </w:rPr>
        <w:t>na jednu časť, alebo na obe časti zákazky</w:t>
      </w:r>
      <w:r w:rsidR="00130CF0" w:rsidRPr="00BD2194">
        <w:rPr>
          <w:rFonts w:ascii="Arial Narrow" w:hAnsi="Arial Narrow" w:cs="Arial"/>
          <w:sz w:val="22"/>
          <w:szCs w:val="22"/>
        </w:rPr>
        <w:t>.</w:t>
      </w:r>
    </w:p>
    <w:p w14:paraId="6144A474" w14:textId="640D7DE7" w:rsidR="0030234D" w:rsidRPr="0030234D" w:rsidRDefault="0030234D" w:rsidP="0030234D">
      <w:pPr>
        <w:pStyle w:val="Zkladntext3"/>
        <w:spacing w:after="0" w:line="240" w:lineRule="auto"/>
        <w:ind w:left="567"/>
        <w:jc w:val="both"/>
        <w:rPr>
          <w:rFonts w:ascii="Arial Narrow" w:hAnsi="Arial Narrow" w:cs="Arial"/>
          <w:b/>
          <w:sz w:val="22"/>
        </w:rPr>
      </w:pPr>
      <w:r w:rsidRPr="0030234D">
        <w:rPr>
          <w:rFonts w:ascii="Arial Narrow" w:hAnsi="Arial Narrow" w:cs="Arial"/>
          <w:b/>
          <w:sz w:val="22"/>
        </w:rPr>
        <w:t>Časť 1. - Zabezpečenie HW a SW infraštruktúry v datacentrách Ministerstva vnútra SR</w:t>
      </w:r>
    </w:p>
    <w:p w14:paraId="74A3F12A" w14:textId="53A9B7D4" w:rsidR="0030234D" w:rsidRPr="0030234D" w:rsidRDefault="0030234D" w:rsidP="0030234D">
      <w:pPr>
        <w:pStyle w:val="Zkladntext3"/>
        <w:spacing w:after="0" w:line="240" w:lineRule="auto"/>
        <w:ind w:left="567"/>
        <w:jc w:val="both"/>
        <w:rPr>
          <w:rFonts w:ascii="Arial Narrow" w:hAnsi="Arial Narrow" w:cs="Arial"/>
          <w:b/>
          <w:sz w:val="28"/>
        </w:rPr>
      </w:pPr>
      <w:r w:rsidRPr="0030234D">
        <w:rPr>
          <w:rFonts w:ascii="Arial Narrow" w:hAnsi="Arial Narrow" w:cs="Arial"/>
          <w:b/>
          <w:sz w:val="22"/>
        </w:rPr>
        <w:t xml:space="preserve">Časť 2. - </w:t>
      </w:r>
      <w:r w:rsidRPr="0030234D">
        <w:rPr>
          <w:rFonts w:ascii="Arial Narrow" w:hAnsi="Arial Narrow" w:cs="Tahoma"/>
          <w:b/>
          <w:sz w:val="22"/>
          <w:szCs w:val="18"/>
          <w:lang w:eastAsia="sk-SK"/>
        </w:rPr>
        <w:t>Zabezpečenie LAN/WAN infraštruktúry v data</w:t>
      </w:r>
      <w:r w:rsidR="00362B7C">
        <w:rPr>
          <w:rFonts w:ascii="Arial Narrow" w:hAnsi="Arial Narrow" w:cs="Tahoma"/>
          <w:b/>
          <w:sz w:val="22"/>
          <w:szCs w:val="18"/>
          <w:lang w:eastAsia="sk-SK"/>
        </w:rPr>
        <w:t>centrách Ministerstva vnútra SR</w:t>
      </w:r>
      <w:bookmarkStart w:id="9" w:name="_GoBack"/>
      <w:bookmarkEnd w:id="9"/>
    </w:p>
    <w:p w14:paraId="5C8C2376" w14:textId="1AD33F64" w:rsidR="0030234D" w:rsidRPr="0030234D" w:rsidRDefault="0030234D" w:rsidP="0030234D">
      <w:pPr>
        <w:pStyle w:val="Zkladntext3"/>
        <w:spacing w:after="0" w:line="240" w:lineRule="auto"/>
        <w:ind w:left="567"/>
        <w:jc w:val="both"/>
        <w:rPr>
          <w:rFonts w:ascii="Arial Narrow" w:hAnsi="Arial Narrow" w:cs="Arial"/>
          <w:sz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DA658B3" w:rsidR="00593108" w:rsidRPr="00D83531" w:rsidRDefault="00593108" w:rsidP="0030234D">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30234D" w:rsidRPr="0030234D">
        <w:rPr>
          <w:rFonts w:ascii="Arial Narrow" w:hAnsi="Arial Narrow" w:cs="Arial"/>
          <w:i/>
          <w:sz w:val="22"/>
          <w:szCs w:val="22"/>
        </w:rPr>
        <w:t>Datacentra MVSR Timravy a Tajov Banská Bystrica. Miesto dodania je rovnaké pre obe časti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7DC965BB"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 </w:t>
      </w:r>
      <w:r w:rsidR="0030234D" w:rsidRPr="0030234D">
        <w:rPr>
          <w:rFonts w:ascii="Arial Narrow" w:hAnsi="Arial Narrow"/>
          <w:b/>
          <w:sz w:val="22"/>
          <w:szCs w:val="22"/>
        </w:rPr>
        <w:t>6 mesiacov</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4D58229F" w14:textId="77777777" w:rsidR="0030234D" w:rsidRPr="0030234D" w:rsidRDefault="0008742B" w:rsidP="0030234D">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30234D" w:rsidRPr="0030234D">
        <w:rPr>
          <w:rFonts w:ascii="Arial Narrow" w:hAnsi="Arial Narrow" w:cs="Arial"/>
          <w:b/>
          <w:bCs/>
          <w:sz w:val="22"/>
          <w:szCs w:val="22"/>
        </w:rPr>
        <w:t>2 493 566,56</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w:t>
      </w:r>
    </w:p>
    <w:p w14:paraId="06CDA9F3" w14:textId="3F6014F2" w:rsidR="0030234D" w:rsidRPr="00966A55" w:rsidRDefault="0030234D" w:rsidP="0030234D">
      <w:pPr>
        <w:pStyle w:val="Zkladntext3"/>
        <w:spacing w:after="0" w:line="240" w:lineRule="auto"/>
        <w:ind w:left="567"/>
        <w:jc w:val="both"/>
        <w:rPr>
          <w:rFonts w:ascii="Arial Narrow" w:hAnsi="Arial Narrow" w:cs="Arial"/>
        </w:rPr>
      </w:pPr>
      <w:r>
        <w:rPr>
          <w:rFonts w:ascii="Arial Narrow" w:hAnsi="Arial Narrow" w:cs="Arial"/>
          <w:sz w:val="22"/>
          <w:szCs w:val="22"/>
        </w:rPr>
        <w:t xml:space="preserve">Pre časť č.1   </w:t>
      </w:r>
      <w:r w:rsidRPr="0030234D">
        <w:rPr>
          <w:rFonts w:ascii="Arial Narrow" w:hAnsi="Arial Narrow" w:cs="Arial"/>
          <w:b/>
          <w:bCs/>
          <w:sz w:val="22"/>
          <w:szCs w:val="22"/>
        </w:rPr>
        <w:t>1 510 451,26</w:t>
      </w:r>
      <w:r w:rsidRPr="00BF72C1">
        <w:rPr>
          <w:rFonts w:ascii="Arial Narrow" w:hAnsi="Arial Narrow" w:cs="Arial"/>
          <w:sz w:val="22"/>
          <w:szCs w:val="22"/>
        </w:rPr>
        <w:t xml:space="preserve"> eur bez DPH.</w:t>
      </w:r>
    </w:p>
    <w:p w14:paraId="1AFD7B90" w14:textId="6D7293D6" w:rsidR="0030234D" w:rsidRDefault="0030234D" w:rsidP="0030234D">
      <w:pPr>
        <w:pStyle w:val="Zkladntext3"/>
        <w:spacing w:after="0" w:line="240" w:lineRule="auto"/>
        <w:ind w:firstLine="567"/>
        <w:jc w:val="both"/>
        <w:rPr>
          <w:rFonts w:ascii="Arial Narrow" w:hAnsi="Arial Narrow" w:cs="Arial"/>
          <w:sz w:val="22"/>
          <w:szCs w:val="22"/>
        </w:rPr>
      </w:pPr>
      <w:r>
        <w:rPr>
          <w:rFonts w:ascii="Arial Narrow" w:hAnsi="Arial Narrow" w:cs="Arial"/>
          <w:sz w:val="22"/>
          <w:szCs w:val="22"/>
        </w:rPr>
        <w:t xml:space="preserve">Pre časť č.2      </w:t>
      </w:r>
      <w:r w:rsidRPr="0030234D">
        <w:rPr>
          <w:rFonts w:ascii="Arial Narrow" w:hAnsi="Arial Narrow" w:cs="Arial"/>
          <w:b/>
          <w:bCs/>
          <w:sz w:val="22"/>
          <w:szCs w:val="22"/>
        </w:rPr>
        <w:t>983 115,30</w:t>
      </w:r>
      <w:r w:rsidRPr="00BF72C1">
        <w:rPr>
          <w:rFonts w:ascii="Arial Narrow" w:hAnsi="Arial Narrow" w:cs="Arial"/>
          <w:sz w:val="22"/>
          <w:szCs w:val="22"/>
        </w:rPr>
        <w:t xml:space="preserve"> eur bez DPH.</w:t>
      </w:r>
    </w:p>
    <w:p w14:paraId="0C8379AD" w14:textId="77777777" w:rsidR="0030234D" w:rsidRPr="00BD2194" w:rsidRDefault="0030234D"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77777777"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systému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použití príslušnej funkcionality systém</w:t>
      </w:r>
      <w:r w:rsidR="002B0D65" w:rsidRPr="005A30A2">
        <w:rPr>
          <w:rFonts w:ascii="Arial Narrow" w:hAnsi="Arial Narrow" w:cs="Arial"/>
          <w:sz w:val="22"/>
          <w:szCs w:val="22"/>
        </w:rPr>
        <w:t>u,</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77777777"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58BDD235" w:rsidR="0014299B" w:rsidRDefault="003156C0" w:rsidP="0014299B">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14299B">
        <w:rPr>
          <w:rFonts w:ascii="Arial Narrow" w:hAnsi="Arial Narrow" w:cs="Arial"/>
          <w:sz w:val="22"/>
        </w:rPr>
        <w:t>ne</w:t>
      </w:r>
      <w:r w:rsidRPr="002B0D65">
        <w:rPr>
          <w:rFonts w:ascii="Arial Narrow" w:hAnsi="Arial Narrow" w:cs="Arial"/>
          <w:sz w:val="22"/>
        </w:rPr>
        <w:t>vyžaduje</w:t>
      </w:r>
      <w:r w:rsidR="0014299B">
        <w:rPr>
          <w:rFonts w:ascii="Arial Narrow" w:hAnsi="Arial Narrow" w:cs="Arial"/>
          <w:sz w:val="22"/>
        </w:rPr>
        <w:t>.</w:t>
      </w:r>
      <w:r w:rsidRPr="002B0D65">
        <w:rPr>
          <w:rFonts w:ascii="Arial Narrow" w:hAnsi="Arial Narrow" w:cs="Arial"/>
          <w:sz w:val="22"/>
        </w:rPr>
        <w:t xml:space="preserve"> </w:t>
      </w:r>
      <w:bookmarkEnd w:id="19"/>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7777777"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7777777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4A0AC775" w14:textId="77777777"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systému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3272073C"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976FAF">
        <w:rPr>
          <w:rFonts w:ascii="Arial Narrow" w:hAnsi="Arial Narrow" w:cs="Arial"/>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p>
    <w:p w14:paraId="0B878309" w14:textId="56D9A8D9"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lastRenderedPageBreak/>
        <w:t>Doklad o zložení zábezpeky</w:t>
      </w:r>
      <w:r w:rsidRPr="00F56A14">
        <w:rPr>
          <w:rFonts w:ascii="Arial Narrow" w:hAnsi="Arial Narrow" w:cs="Arial"/>
          <w:sz w:val="22"/>
        </w:rPr>
        <w:t xml:space="preserve"> ponuky (ak je zábezpeka</w:t>
      </w:r>
      <w:r w:rsidR="0014299B">
        <w:rPr>
          <w:rFonts w:ascii="Arial Narrow" w:hAnsi="Arial Narrow" w:cs="Arial"/>
          <w:sz w:val="22"/>
        </w:rPr>
        <w:t xml:space="preserve"> požadovaná, a</w:t>
      </w:r>
      <w:r w:rsidRPr="00F56A14">
        <w:rPr>
          <w:rFonts w:ascii="Arial Narrow" w:hAnsi="Arial Narrow" w:cs="Arial"/>
          <w:sz w:val="22"/>
        </w:rPr>
        <w:t xml:space="preserve">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0471369" w14:textId="5B8C4A95"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r w:rsidR="00474521">
        <w:rPr>
          <w:rFonts w:ascii="Arial Narrow" w:hAnsi="Arial Narrow" w:cs="Arial"/>
          <w:sz w:val="22"/>
        </w:rPr>
        <w:t xml:space="preserve"> </w:t>
      </w:r>
      <w:r w:rsidR="00474521" w:rsidRPr="00474521">
        <w:rPr>
          <w:rFonts w:ascii="Arial Narrow" w:hAnsi="Arial Narrow" w:cs="Arial"/>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22085D">
        <w:rPr>
          <w:rFonts w:ascii="Arial Narrow" w:hAnsi="Arial Narrow" w:cs="Arial"/>
          <w:sz w:val="22"/>
        </w:rPr>
        <w:t xml:space="preserve">5 </w:t>
      </w:r>
      <w:r>
        <w:rPr>
          <w:rFonts w:ascii="Arial Narrow" w:hAnsi="Arial Narrow" w:cs="Arial"/>
          <w:sz w:val="22"/>
        </w:rPr>
        <w:t>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7777777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C35656">
        <w:rPr>
          <w:rFonts w:ascii="Arial Narrow" w:hAnsi="Arial Narrow" w:cs="Arial"/>
          <w:sz w:val="22"/>
          <w:szCs w:val="22"/>
        </w:rPr>
        <w:t>systému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887131B"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6D675F" w:rsidRPr="00D7034C">
        <w:rPr>
          <w:rFonts w:ascii="Arial Narrow" w:hAnsi="Arial Narrow" w:cs="Arial"/>
          <w:sz w:val="22"/>
          <w:szCs w:val="22"/>
        </w:rPr>
        <w:t>systému 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6B55AA" w:rsidRPr="00D7034C">
        <w:rPr>
          <w:rFonts w:ascii="Arial Narrow" w:hAnsi="Arial Narrow" w:cs="Arial"/>
          <w:sz w:val="22"/>
          <w:szCs w:val="22"/>
        </w:rPr>
        <w:t>Uchádzač</w:t>
      </w:r>
      <w:r w:rsidRPr="00DF6A9C">
        <w:rPr>
          <w:rFonts w:ascii="Arial Narrow" w:hAnsi="Arial Narrow" w:cs="Arial"/>
          <w:sz w:val="22"/>
          <w:szCs w:val="22"/>
        </w:rPr>
        <w:t xml:space="preserve"> nemôže byť v tom istom postupe zadávania zákazky členom skupiny dodávateľov, ktorá predkladá ponuku.</w:t>
      </w:r>
      <w:r w:rsidR="00091214" w:rsidRPr="00DF6A9C">
        <w:rPr>
          <w:rFonts w:ascii="Arial Narrow" w:hAnsi="Arial Narrow" w:cs="Arial"/>
          <w:sz w:val="22"/>
          <w:szCs w:val="22"/>
        </w:rPr>
        <w:t xml:space="preserve"> Verejný obstarávateľ vylúči uchádzača, ktorý je súčasne členom skupiny dodávateľov.</w:t>
      </w:r>
    </w:p>
    <w:p w14:paraId="52832B8D" w14:textId="77777777"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091214" w:rsidRPr="00091214">
        <w:rPr>
          <w:rFonts w:ascii="Arial Narrow" w:hAnsi="Arial Narrow"/>
          <w:sz w:val="22"/>
          <w:szCs w:val="22"/>
        </w:rPr>
        <w:t>systému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systému JOSEPHINE umiestnenom na webovej adrese </w:t>
      </w:r>
      <w:hyperlink r:id="rId16"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77777777"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CA416A" w:rsidRPr="003C0DA5">
        <w:rPr>
          <w:rFonts w:ascii="Arial Narrow" w:hAnsi="Arial Narrow"/>
          <w:sz w:val="22"/>
          <w:szCs w:val="22"/>
        </w:rPr>
        <w:t>systému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77777777"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E66A74" w:rsidRPr="003C0DA5">
        <w:rPr>
          <w:rFonts w:ascii="Arial Narrow" w:hAnsi="Arial Narrow" w:cs="Arial"/>
          <w:sz w:val="22"/>
          <w:szCs w:val="22"/>
        </w:rPr>
        <w:t>systému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77777777" w:rsidR="00065F6B" w:rsidRPr="00BD2194" w:rsidRDefault="004C14DD" w:rsidP="003C0DA5">
      <w:pPr>
        <w:pStyle w:val="Nadpis1"/>
      </w:pPr>
      <w:r>
        <w:t>hodnotenie ponúk</w:t>
      </w:r>
      <w:r w:rsidR="003D4C8E">
        <w:t xml:space="preserve"> a splnenia podmienok účasti,</w:t>
      </w:r>
      <w:r>
        <w:t xml:space="preserve"> </w:t>
      </w:r>
      <w:r w:rsidR="002C64DD">
        <w:t xml:space="preserve"> </w:t>
      </w:r>
      <w:r w:rsidR="00065F6B" w:rsidRPr="00BD2194">
        <w:t xml:space="preserve">informácia o výsledku vyhodnocovania ponúk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7777777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14299B" w:rsidRDefault="00065F6B" w:rsidP="003C0DA5">
      <w:pPr>
        <w:pStyle w:val="Nadpis1"/>
      </w:pPr>
      <w:r w:rsidRPr="0014299B">
        <w:t>typ zmluvy</w:t>
      </w:r>
    </w:p>
    <w:p w14:paraId="65D87F45" w14:textId="28D5AC20" w:rsidR="003C0DA5" w:rsidRPr="0014299B"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14299B">
        <w:rPr>
          <w:rFonts w:ascii="Arial Narrow" w:hAnsi="Arial Narrow" w:cs="Arial"/>
          <w:sz w:val="22"/>
          <w:szCs w:val="22"/>
        </w:rPr>
        <w:t>Typ Z</w:t>
      </w:r>
      <w:r w:rsidR="00065F6B" w:rsidRPr="0014299B">
        <w:rPr>
          <w:rFonts w:ascii="Arial Narrow" w:hAnsi="Arial Narrow" w:cs="Arial"/>
          <w:sz w:val="22"/>
          <w:szCs w:val="22"/>
        </w:rPr>
        <w:t xml:space="preserve">mluvy na poskytnutie predmetu zákazky: </w:t>
      </w:r>
      <w:r w:rsidR="0014299B" w:rsidRPr="0014299B">
        <w:rPr>
          <w:rFonts w:ascii="Arial Narrow" w:hAnsi="Arial Narrow" w:cs="Arial"/>
          <w:b/>
          <w:sz w:val="22"/>
          <w:szCs w:val="22"/>
        </w:rPr>
        <w:t>Zmluva o</w:t>
      </w:r>
      <w:r w:rsidR="0014299B">
        <w:rPr>
          <w:rFonts w:ascii="Arial Narrow" w:hAnsi="Arial Narrow" w:cs="Arial"/>
          <w:b/>
          <w:sz w:val="22"/>
          <w:szCs w:val="22"/>
        </w:rPr>
        <w:t> </w:t>
      </w:r>
      <w:r w:rsidR="0014299B" w:rsidRPr="0014299B">
        <w:rPr>
          <w:rFonts w:ascii="Arial Narrow" w:hAnsi="Arial Narrow" w:cs="Arial"/>
          <w:b/>
          <w:sz w:val="22"/>
          <w:szCs w:val="22"/>
        </w:rPr>
        <w:t>dielo</w:t>
      </w:r>
      <w:r w:rsidR="0014299B">
        <w:rPr>
          <w:rFonts w:ascii="Arial Narrow" w:hAnsi="Arial Narrow" w:cs="Arial"/>
          <w:b/>
          <w:sz w:val="22"/>
          <w:szCs w:val="22"/>
        </w:rPr>
        <w:t xml:space="preserve"> </w:t>
      </w:r>
      <w:r w:rsidR="0014299B" w:rsidRPr="0014299B">
        <w:rPr>
          <w:rFonts w:ascii="Arial Narrow" w:hAnsi="Arial Narrow" w:cs="Arial"/>
          <w:sz w:val="22"/>
          <w:szCs w:val="22"/>
        </w:rPr>
        <w:t>(ďalej len „Zmluva“), pre každú časť sa uzatvára samostatne s jedným uchádzačom</w:t>
      </w:r>
      <w:r w:rsidR="0014299B">
        <w:rPr>
          <w:rFonts w:ascii="Arial Narrow" w:hAnsi="Arial Narrow" w:cs="Arial"/>
          <w:sz w:val="22"/>
          <w:szCs w:val="22"/>
        </w:rPr>
        <w:t>.</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27B3E2D" w14:textId="2B15A957" w:rsidR="003C0DA5" w:rsidRPr="00F0264C" w:rsidRDefault="005D55C9" w:rsidP="00F0264C">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w:t>
      </w:r>
      <w:r w:rsidR="00011710">
        <w:rPr>
          <w:rFonts w:ascii="Arial Narrow" w:hAnsi="Arial Narrow"/>
          <w:sz w:val="22"/>
          <w:szCs w:val="22"/>
        </w:rPr>
        <w:t xml:space="preserve"> podľa zákona </w:t>
      </w:r>
      <w:r w:rsidR="00F0264C" w:rsidRPr="00F0264C">
        <w:rPr>
          <w:rFonts w:ascii="Arial Narrow" w:hAnsi="Arial Narrow"/>
          <w:sz w:val="22"/>
          <w:szCs w:val="22"/>
        </w:rPr>
        <w:t>č. 315/2016 Z. z. o registri partnerov verejného sektora a o zmene a doplnení niektorých zákonov,</w:t>
      </w:r>
      <w:r w:rsidRPr="00F0264C">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F0264C">
        <w:rPr>
          <w:rFonts w:ascii="Arial Narrow" w:hAnsi="Arial Narrow"/>
          <w:sz w:val="22"/>
          <w:szCs w:val="22"/>
        </w:rPr>
        <w:br/>
      </w:r>
      <w:r w:rsidRPr="00F0264C">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DF1DF2" w:rsidRDefault="00DF1DF2" w:rsidP="00116B5E">
      <w:pPr>
        <w:spacing w:after="0" w:line="240" w:lineRule="auto"/>
      </w:pPr>
      <w:r>
        <w:separator/>
      </w:r>
    </w:p>
  </w:endnote>
  <w:endnote w:type="continuationSeparator" w:id="0">
    <w:p w14:paraId="7BE2DEB5" w14:textId="77777777" w:rsidR="00DF1DF2" w:rsidRDefault="00DF1DF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DF1DF2" w:rsidRDefault="00DF1DF2" w:rsidP="00116B5E">
      <w:pPr>
        <w:spacing w:after="0" w:line="240" w:lineRule="auto"/>
      </w:pPr>
      <w:r>
        <w:separator/>
      </w:r>
    </w:p>
  </w:footnote>
  <w:footnote w:type="continuationSeparator" w:id="0">
    <w:p w14:paraId="0B0F3668" w14:textId="77777777" w:rsidR="00DF1DF2" w:rsidRDefault="00DF1DF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972C9A" w:rsidRPr="00877A4D" w14:paraId="1F28C457" w14:textId="77777777" w:rsidTr="00E13779">
      <w:trPr>
        <w:trHeight w:val="75"/>
      </w:trPr>
      <w:tc>
        <w:tcPr>
          <w:tcW w:w="6821" w:type="dxa"/>
          <w:shd w:val="clear" w:color="auto" w:fill="auto"/>
        </w:tcPr>
        <w:p w14:paraId="3AB3CF69" w14:textId="77777777" w:rsidR="00972C9A" w:rsidRPr="00877A4D" w:rsidRDefault="00972C9A" w:rsidP="00E13779">
          <w:pPr>
            <w:spacing w:after="0"/>
            <w:ind w:right="113"/>
            <w:rPr>
              <w:rFonts w:ascii="Arial Narrow" w:hAnsi="Arial Narrow"/>
              <w:sz w:val="22"/>
            </w:rPr>
          </w:pPr>
        </w:p>
      </w:tc>
    </w:tr>
    <w:tr w:rsidR="00972C9A" w:rsidRPr="00877A4D" w14:paraId="1432C184" w14:textId="77777777" w:rsidTr="00E13779">
      <w:trPr>
        <w:trHeight w:val="75"/>
      </w:trPr>
      <w:tc>
        <w:tcPr>
          <w:tcW w:w="6821" w:type="dxa"/>
          <w:shd w:val="clear" w:color="auto" w:fill="auto"/>
        </w:tcPr>
        <w:p w14:paraId="7A01053C" w14:textId="77777777" w:rsidR="00972C9A" w:rsidRPr="00877A4D" w:rsidRDefault="00972C9A" w:rsidP="00E13779">
          <w:pPr>
            <w:pStyle w:val="Hlavika"/>
            <w:tabs>
              <w:tab w:val="center" w:pos="-142"/>
              <w:tab w:val="right" w:pos="9356"/>
            </w:tabs>
            <w:ind w:right="113"/>
            <w:rPr>
              <w:rFonts w:ascii="Arial Narrow" w:hAnsi="Arial Narrow"/>
            </w:rPr>
          </w:pPr>
        </w:p>
      </w:tc>
    </w:tr>
  </w:tbl>
  <w:p w14:paraId="7A369C06" w14:textId="77777777" w:rsidR="00972C9A" w:rsidRPr="00E13779" w:rsidRDefault="00972C9A"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5"/>
  </w:num>
  <w:num w:numId="5">
    <w:abstractNumId w:val="39"/>
  </w:num>
  <w:num w:numId="6">
    <w:abstractNumId w:val="41"/>
  </w:num>
  <w:num w:numId="7">
    <w:abstractNumId w:val="8"/>
  </w:num>
  <w:num w:numId="8">
    <w:abstractNumId w:val="31"/>
  </w:num>
  <w:num w:numId="9">
    <w:abstractNumId w:val="36"/>
  </w:num>
  <w:num w:numId="10">
    <w:abstractNumId w:val="14"/>
  </w:num>
  <w:num w:numId="11">
    <w:abstractNumId w:val="4"/>
  </w:num>
  <w:num w:numId="12">
    <w:abstractNumId w:val="24"/>
  </w:num>
  <w:num w:numId="13">
    <w:abstractNumId w:val="9"/>
  </w:num>
  <w:num w:numId="14">
    <w:abstractNumId w:val="17"/>
  </w:num>
  <w:num w:numId="15">
    <w:abstractNumId w:val="11"/>
  </w:num>
  <w:num w:numId="16">
    <w:abstractNumId w:val="40"/>
  </w:num>
  <w:num w:numId="17">
    <w:abstractNumId w:val="27"/>
  </w:num>
  <w:num w:numId="18">
    <w:abstractNumId w:val="22"/>
  </w:num>
  <w:num w:numId="19">
    <w:abstractNumId w:val="37"/>
  </w:num>
  <w:num w:numId="20">
    <w:abstractNumId w:val="12"/>
  </w:num>
  <w:num w:numId="21">
    <w:abstractNumId w:val="43"/>
  </w:num>
  <w:num w:numId="22">
    <w:abstractNumId w:val="2"/>
  </w:num>
  <w:num w:numId="23">
    <w:abstractNumId w:val="26"/>
  </w:num>
  <w:num w:numId="24">
    <w:abstractNumId w:val="20"/>
  </w:num>
  <w:num w:numId="25">
    <w:abstractNumId w:val="3"/>
  </w:num>
  <w:num w:numId="26">
    <w:abstractNumId w:val="15"/>
  </w:num>
  <w:num w:numId="27">
    <w:abstractNumId w:val="1"/>
  </w:num>
  <w:num w:numId="28">
    <w:abstractNumId w:val="38"/>
  </w:num>
  <w:num w:numId="29">
    <w:abstractNumId w:val="32"/>
  </w:num>
  <w:num w:numId="30">
    <w:abstractNumId w:val="28"/>
  </w:num>
  <w:num w:numId="31">
    <w:abstractNumId w:val="29"/>
  </w:num>
  <w:num w:numId="32">
    <w:abstractNumId w:val="34"/>
  </w:num>
  <w:num w:numId="33">
    <w:abstractNumId w:val="0"/>
  </w:num>
  <w:num w:numId="34">
    <w:abstractNumId w:val="7"/>
  </w:num>
  <w:num w:numId="35">
    <w:abstractNumId w:val="19"/>
  </w:num>
  <w:num w:numId="36">
    <w:abstractNumId w:val="44"/>
  </w:num>
  <w:num w:numId="37">
    <w:abstractNumId w:val="35"/>
  </w:num>
  <w:num w:numId="38">
    <w:abstractNumId w:val="21"/>
  </w:num>
  <w:num w:numId="39">
    <w:abstractNumId w:val="13"/>
  </w:num>
  <w:num w:numId="40">
    <w:abstractNumId w:val="10"/>
  </w:num>
  <w:num w:numId="41">
    <w:abstractNumId w:val="30"/>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710"/>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59EE"/>
    <w:rsid w:val="001364E8"/>
    <w:rsid w:val="0014299B"/>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34D"/>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2B7C"/>
    <w:rsid w:val="00363047"/>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377BE"/>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0A89"/>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B7ED-7E30-4C90-82E2-EA6C4073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3776</Words>
  <Characters>21528</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25254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2022-02-21T12:15:00Z</dcterms:modified>
</cp:coreProperties>
</file>