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312" w:rsidRDefault="009B1312" w:rsidP="009B1312">
      <w:pPr>
        <w:pStyle w:val="Textt"/>
        <w:ind w:left="0"/>
        <w:jc w:val="center"/>
        <w:rPr>
          <w:lang w:val="sk-SK"/>
        </w:rPr>
      </w:pPr>
      <w:r>
        <w:rPr>
          <w:lang w:val="sk-SK"/>
        </w:rPr>
        <w:t>N Á V R H</w:t>
      </w:r>
    </w:p>
    <w:p w:rsidR="009B1312" w:rsidRPr="00002CA1" w:rsidRDefault="009B1312" w:rsidP="009B1312">
      <w:pPr>
        <w:pStyle w:val="Textt"/>
        <w:ind w:left="3552"/>
        <w:rPr>
          <w:lang w:val="sk-SK"/>
        </w:rPr>
      </w:pPr>
    </w:p>
    <w:p w:rsidR="009B1312" w:rsidRPr="00002CA1" w:rsidRDefault="009B1312" w:rsidP="009B1312">
      <w:pPr>
        <w:spacing w:line="276" w:lineRule="auto"/>
        <w:jc w:val="center"/>
        <w:rPr>
          <w:rFonts w:eastAsia="Calibri"/>
          <w:b/>
          <w:sz w:val="28"/>
          <w:szCs w:val="28"/>
          <w:lang w:eastAsia="en-US"/>
        </w:rPr>
      </w:pPr>
      <w:r w:rsidRPr="00002CA1">
        <w:rPr>
          <w:rFonts w:eastAsia="Calibri"/>
          <w:b/>
          <w:sz w:val="28"/>
          <w:szCs w:val="28"/>
          <w:lang w:eastAsia="en-US"/>
        </w:rPr>
        <w:t>ZMLUVA O IMPLEMENTÁCII  SYSTÉMOV RIADENIA</w:t>
      </w:r>
    </w:p>
    <w:p w:rsidR="009B1312" w:rsidRPr="00002CA1" w:rsidRDefault="009B1312" w:rsidP="009B1312">
      <w:pPr>
        <w:spacing w:line="276" w:lineRule="auto"/>
        <w:jc w:val="center"/>
        <w:rPr>
          <w:rFonts w:eastAsia="Calibri"/>
          <w:b/>
          <w:sz w:val="28"/>
          <w:szCs w:val="28"/>
          <w:lang w:eastAsia="en-US"/>
        </w:rPr>
      </w:pPr>
    </w:p>
    <w:p w:rsidR="009B1312" w:rsidRPr="00002CA1" w:rsidRDefault="009B1312" w:rsidP="009B1312">
      <w:pPr>
        <w:spacing w:line="276" w:lineRule="auto"/>
        <w:jc w:val="center"/>
        <w:rPr>
          <w:rFonts w:eastAsia="Calibri"/>
          <w:lang w:eastAsia="en-US"/>
        </w:rPr>
      </w:pPr>
      <w:r w:rsidRPr="00002CA1">
        <w:rPr>
          <w:rFonts w:eastAsia="Calibri"/>
          <w:lang w:eastAsia="en-US"/>
        </w:rPr>
        <w:t>uzatvorená podľa § 269 ods. 2 zákona č. 513/1991 Zb. Obchodný zákonník v znení neskorších predpisov</w:t>
      </w:r>
    </w:p>
    <w:p w:rsidR="009B1312" w:rsidRPr="00002CA1" w:rsidRDefault="009B1312" w:rsidP="009B1312">
      <w:pPr>
        <w:spacing w:line="276" w:lineRule="auto"/>
        <w:jc w:val="both"/>
        <w:rPr>
          <w:rFonts w:eastAsia="Calibri"/>
          <w:sz w:val="22"/>
          <w:szCs w:val="22"/>
          <w:lang w:eastAsia="en-US"/>
        </w:rPr>
      </w:pPr>
    </w:p>
    <w:p w:rsidR="009B1312" w:rsidRPr="00002CA1" w:rsidRDefault="009B1312" w:rsidP="009B1312">
      <w:pPr>
        <w:spacing w:line="276" w:lineRule="auto"/>
        <w:jc w:val="both"/>
        <w:rPr>
          <w:b/>
          <w:sz w:val="24"/>
          <w:szCs w:val="24"/>
        </w:rPr>
      </w:pPr>
      <w:r w:rsidRPr="00002CA1">
        <w:rPr>
          <w:b/>
          <w:sz w:val="24"/>
          <w:szCs w:val="24"/>
        </w:rPr>
        <w:t>Objednávateľ</w:t>
      </w:r>
      <w:r w:rsidRPr="00002CA1">
        <w:rPr>
          <w:b/>
          <w:sz w:val="24"/>
          <w:szCs w:val="24"/>
        </w:rPr>
        <w:tab/>
      </w:r>
      <w:r w:rsidRPr="00002CA1">
        <w:rPr>
          <w:b/>
          <w:sz w:val="24"/>
          <w:szCs w:val="24"/>
        </w:rPr>
        <w:tab/>
      </w:r>
      <w:r w:rsidRPr="00002CA1">
        <w:rPr>
          <w:b/>
          <w:sz w:val="24"/>
          <w:szCs w:val="24"/>
        </w:rPr>
        <w:tab/>
      </w:r>
    </w:p>
    <w:p w:rsidR="009B1312" w:rsidRPr="00002CA1" w:rsidRDefault="009B1312" w:rsidP="009B1312">
      <w:pPr>
        <w:pStyle w:val="Bezriadkovania"/>
        <w:spacing w:line="276" w:lineRule="auto"/>
        <w:rPr>
          <w:rFonts w:ascii="Times New Roman" w:hAnsi="Times New Roman"/>
          <w:sz w:val="24"/>
          <w:szCs w:val="24"/>
        </w:rPr>
      </w:pPr>
      <w:r w:rsidRPr="00002CA1">
        <w:rPr>
          <w:rFonts w:ascii="Times New Roman" w:hAnsi="Times New Roman"/>
          <w:sz w:val="24"/>
          <w:szCs w:val="24"/>
        </w:rPr>
        <w:t>obchodné meno:</w:t>
      </w:r>
      <w:r w:rsidRPr="00002CA1">
        <w:rPr>
          <w:rFonts w:ascii="Times New Roman" w:hAnsi="Times New Roman"/>
          <w:sz w:val="24"/>
          <w:szCs w:val="24"/>
        </w:rPr>
        <w:tab/>
      </w:r>
      <w:r w:rsidRPr="00002CA1">
        <w:rPr>
          <w:rFonts w:ascii="Times New Roman" w:hAnsi="Times New Roman"/>
          <w:sz w:val="24"/>
          <w:szCs w:val="24"/>
        </w:rPr>
        <w:tab/>
      </w:r>
      <w:r w:rsidRPr="00002CA1">
        <w:rPr>
          <w:rFonts w:ascii="Times New Roman" w:hAnsi="Times New Roman"/>
          <w:b/>
          <w:sz w:val="24"/>
          <w:szCs w:val="24"/>
        </w:rPr>
        <w:t>TÜV SÜD Slovakia s.r.o.</w:t>
      </w:r>
    </w:p>
    <w:p w:rsidR="009B1312" w:rsidRPr="00002CA1" w:rsidRDefault="009B1312" w:rsidP="009B1312">
      <w:pPr>
        <w:pStyle w:val="Bezriadkovania"/>
        <w:spacing w:line="276" w:lineRule="auto"/>
        <w:rPr>
          <w:rFonts w:ascii="Times New Roman" w:hAnsi="Times New Roman"/>
          <w:sz w:val="24"/>
          <w:szCs w:val="24"/>
        </w:rPr>
      </w:pPr>
      <w:r w:rsidRPr="00002CA1">
        <w:rPr>
          <w:rFonts w:ascii="Times New Roman" w:hAnsi="Times New Roman"/>
          <w:sz w:val="24"/>
          <w:szCs w:val="24"/>
        </w:rPr>
        <w:t xml:space="preserve">sídlo: </w:t>
      </w:r>
      <w:r w:rsidRPr="00002CA1">
        <w:rPr>
          <w:rFonts w:ascii="Times New Roman" w:hAnsi="Times New Roman"/>
          <w:sz w:val="24"/>
          <w:szCs w:val="24"/>
        </w:rPr>
        <w:tab/>
      </w:r>
      <w:r w:rsidRPr="00002CA1">
        <w:rPr>
          <w:rFonts w:ascii="Times New Roman" w:hAnsi="Times New Roman"/>
          <w:sz w:val="24"/>
          <w:szCs w:val="24"/>
        </w:rPr>
        <w:tab/>
      </w:r>
      <w:r w:rsidRPr="00002CA1">
        <w:rPr>
          <w:rFonts w:ascii="Times New Roman" w:hAnsi="Times New Roman"/>
          <w:sz w:val="24"/>
          <w:szCs w:val="24"/>
        </w:rPr>
        <w:tab/>
      </w:r>
      <w:r w:rsidRPr="00002CA1">
        <w:rPr>
          <w:rFonts w:ascii="Times New Roman" w:hAnsi="Times New Roman"/>
          <w:sz w:val="24"/>
          <w:szCs w:val="24"/>
        </w:rPr>
        <w:tab/>
        <w:t xml:space="preserve">Jašíkova 6, 821 03 Bratislava </w:t>
      </w:r>
    </w:p>
    <w:p w:rsidR="009B1312" w:rsidRPr="00002CA1" w:rsidRDefault="009B1312" w:rsidP="009B1312">
      <w:pPr>
        <w:pStyle w:val="Bezriadkovania"/>
        <w:spacing w:line="276" w:lineRule="auto"/>
        <w:rPr>
          <w:rFonts w:ascii="Times New Roman" w:hAnsi="Times New Roman"/>
          <w:sz w:val="24"/>
          <w:szCs w:val="24"/>
        </w:rPr>
      </w:pPr>
      <w:r w:rsidRPr="00002CA1">
        <w:rPr>
          <w:rFonts w:ascii="Times New Roman" w:hAnsi="Times New Roman"/>
          <w:sz w:val="24"/>
          <w:szCs w:val="24"/>
        </w:rPr>
        <w:t>zápis v obch. registri:</w:t>
      </w:r>
      <w:r w:rsidRPr="00002CA1">
        <w:rPr>
          <w:rFonts w:ascii="Times New Roman" w:hAnsi="Times New Roman"/>
          <w:sz w:val="24"/>
          <w:szCs w:val="24"/>
        </w:rPr>
        <w:tab/>
      </w:r>
      <w:r w:rsidRPr="00002CA1">
        <w:rPr>
          <w:rFonts w:ascii="Times New Roman" w:hAnsi="Times New Roman"/>
          <w:sz w:val="24"/>
          <w:szCs w:val="24"/>
        </w:rPr>
        <w:tab/>
        <w:t>Okresný súd Bratislava I, oddiel: Sro, vložka č.: 28235/B</w:t>
      </w:r>
    </w:p>
    <w:p w:rsidR="009B1312" w:rsidRPr="00002CA1" w:rsidRDefault="009B1312" w:rsidP="009B1312">
      <w:pPr>
        <w:pStyle w:val="Bezriadkovania"/>
        <w:spacing w:line="276" w:lineRule="auto"/>
        <w:rPr>
          <w:rFonts w:ascii="Times New Roman" w:hAnsi="Times New Roman"/>
          <w:sz w:val="24"/>
          <w:szCs w:val="24"/>
        </w:rPr>
      </w:pPr>
      <w:r w:rsidRPr="00002CA1">
        <w:rPr>
          <w:rFonts w:ascii="Times New Roman" w:hAnsi="Times New Roman"/>
          <w:sz w:val="24"/>
          <w:szCs w:val="24"/>
        </w:rPr>
        <w:t xml:space="preserve">dátum zápisu: </w:t>
      </w:r>
      <w:r w:rsidRPr="00002CA1">
        <w:rPr>
          <w:rFonts w:ascii="Times New Roman" w:hAnsi="Times New Roman"/>
          <w:sz w:val="24"/>
          <w:szCs w:val="24"/>
        </w:rPr>
        <w:tab/>
      </w:r>
      <w:r w:rsidRPr="00002CA1">
        <w:rPr>
          <w:rFonts w:ascii="Times New Roman" w:hAnsi="Times New Roman"/>
          <w:sz w:val="24"/>
          <w:szCs w:val="24"/>
        </w:rPr>
        <w:tab/>
      </w:r>
      <w:r w:rsidRPr="00002CA1">
        <w:rPr>
          <w:rFonts w:ascii="Times New Roman" w:hAnsi="Times New Roman"/>
          <w:sz w:val="24"/>
          <w:szCs w:val="24"/>
        </w:rPr>
        <w:tab/>
        <w:t xml:space="preserve">19. februára 2003 </w:t>
      </w:r>
    </w:p>
    <w:p w:rsidR="009B1312" w:rsidRPr="00002CA1" w:rsidRDefault="009B1312" w:rsidP="009B1312">
      <w:pPr>
        <w:pStyle w:val="Bezriadkovania"/>
        <w:spacing w:line="276" w:lineRule="auto"/>
        <w:rPr>
          <w:rFonts w:ascii="Times New Roman" w:hAnsi="Times New Roman"/>
          <w:sz w:val="24"/>
          <w:szCs w:val="24"/>
        </w:rPr>
      </w:pPr>
      <w:r w:rsidRPr="00002CA1">
        <w:rPr>
          <w:rFonts w:ascii="Times New Roman" w:hAnsi="Times New Roman"/>
          <w:sz w:val="24"/>
          <w:szCs w:val="24"/>
        </w:rPr>
        <w:t>IČO:</w:t>
      </w:r>
      <w:r w:rsidRPr="00002CA1">
        <w:rPr>
          <w:rFonts w:ascii="Times New Roman" w:hAnsi="Times New Roman"/>
          <w:sz w:val="24"/>
          <w:szCs w:val="24"/>
        </w:rPr>
        <w:tab/>
      </w:r>
      <w:r w:rsidRPr="00002CA1">
        <w:rPr>
          <w:rFonts w:ascii="Times New Roman" w:hAnsi="Times New Roman"/>
          <w:sz w:val="24"/>
          <w:szCs w:val="24"/>
        </w:rPr>
        <w:tab/>
      </w:r>
      <w:r w:rsidRPr="00002CA1">
        <w:rPr>
          <w:rFonts w:ascii="Times New Roman" w:hAnsi="Times New Roman"/>
          <w:sz w:val="24"/>
          <w:szCs w:val="24"/>
        </w:rPr>
        <w:tab/>
      </w:r>
      <w:r w:rsidRPr="00002CA1">
        <w:rPr>
          <w:rFonts w:ascii="Times New Roman" w:hAnsi="Times New Roman"/>
          <w:sz w:val="24"/>
          <w:szCs w:val="24"/>
        </w:rPr>
        <w:tab/>
        <w:t>35 852 216</w:t>
      </w:r>
    </w:p>
    <w:p w:rsidR="009B1312" w:rsidRPr="00002CA1" w:rsidRDefault="009B1312" w:rsidP="009B1312">
      <w:pPr>
        <w:pStyle w:val="Bezriadkovania"/>
        <w:spacing w:line="276" w:lineRule="auto"/>
        <w:rPr>
          <w:rFonts w:ascii="Times New Roman" w:hAnsi="Times New Roman"/>
          <w:sz w:val="24"/>
          <w:szCs w:val="24"/>
        </w:rPr>
      </w:pPr>
      <w:r>
        <w:rPr>
          <w:rFonts w:ascii="Times New Roman" w:hAnsi="Times New Roman"/>
          <w:sz w:val="24"/>
          <w:szCs w:val="24"/>
        </w:rPr>
        <w:t>IČ DPH: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02CA1">
        <w:rPr>
          <w:rFonts w:ascii="Times New Roman" w:hAnsi="Times New Roman"/>
          <w:sz w:val="24"/>
          <w:szCs w:val="24"/>
        </w:rPr>
        <w:t>SK2020263674</w:t>
      </w:r>
    </w:p>
    <w:p w:rsidR="009B1312" w:rsidRPr="00002CA1" w:rsidRDefault="009B1312" w:rsidP="009B1312">
      <w:pPr>
        <w:pStyle w:val="Bezriadkovania"/>
        <w:spacing w:line="276" w:lineRule="auto"/>
        <w:ind w:left="2835" w:hanging="2835"/>
        <w:rPr>
          <w:rFonts w:ascii="Times New Roman" w:hAnsi="Times New Roman"/>
          <w:sz w:val="24"/>
          <w:szCs w:val="24"/>
        </w:rPr>
      </w:pPr>
      <w:r w:rsidRPr="00002CA1">
        <w:rPr>
          <w:rFonts w:ascii="Times New Roman" w:hAnsi="Times New Roman"/>
          <w:sz w:val="24"/>
          <w:szCs w:val="24"/>
        </w:rPr>
        <w:t>bankové spojenie:</w:t>
      </w:r>
      <w:r w:rsidRPr="00002CA1">
        <w:rPr>
          <w:rFonts w:ascii="Times New Roman" w:hAnsi="Times New Roman"/>
          <w:sz w:val="24"/>
          <w:szCs w:val="24"/>
        </w:rPr>
        <w:tab/>
        <w:t xml:space="preserve">UniCredit Bank Slovakia, </w:t>
      </w:r>
      <w:proofErr w:type="spellStart"/>
      <w:r w:rsidRPr="00002CA1">
        <w:rPr>
          <w:rFonts w:ascii="Times New Roman" w:hAnsi="Times New Roman"/>
          <w:sz w:val="24"/>
          <w:szCs w:val="24"/>
        </w:rPr>
        <w:t>a.s</w:t>
      </w:r>
      <w:proofErr w:type="spellEnd"/>
      <w:r w:rsidRPr="00002CA1">
        <w:rPr>
          <w:rFonts w:ascii="Times New Roman" w:hAnsi="Times New Roman"/>
          <w:sz w:val="24"/>
          <w:szCs w:val="24"/>
        </w:rPr>
        <w:t xml:space="preserve">., </w:t>
      </w:r>
      <w:proofErr w:type="spellStart"/>
      <w:r w:rsidRPr="00002CA1">
        <w:rPr>
          <w:rFonts w:ascii="Times New Roman" w:hAnsi="Times New Roman"/>
          <w:sz w:val="24"/>
          <w:szCs w:val="24"/>
        </w:rPr>
        <w:t>č.ú</w:t>
      </w:r>
      <w:proofErr w:type="spellEnd"/>
      <w:r w:rsidRPr="00002CA1">
        <w:rPr>
          <w:rFonts w:ascii="Times New Roman" w:hAnsi="Times New Roman"/>
          <w:sz w:val="24"/>
          <w:szCs w:val="24"/>
        </w:rPr>
        <w:t>. IBAN: SK15 1111 0000 0010 9250 9000, SWIFT: UNCRSKBX</w:t>
      </w:r>
    </w:p>
    <w:p w:rsidR="009B1312" w:rsidRPr="00002CA1" w:rsidRDefault="009B1312" w:rsidP="009B1312">
      <w:pPr>
        <w:pStyle w:val="Bezriadkovania"/>
        <w:spacing w:line="276" w:lineRule="auto"/>
        <w:rPr>
          <w:rFonts w:ascii="Times New Roman" w:hAnsi="Times New Roman"/>
          <w:sz w:val="24"/>
          <w:szCs w:val="24"/>
        </w:rPr>
      </w:pPr>
      <w:r w:rsidRPr="00002CA1">
        <w:rPr>
          <w:rFonts w:ascii="Times New Roman" w:hAnsi="Times New Roman"/>
          <w:sz w:val="24"/>
          <w:szCs w:val="24"/>
        </w:rPr>
        <w:t>konanie menom spoločnosti:</w:t>
      </w:r>
      <w:r w:rsidRPr="00002CA1">
        <w:rPr>
          <w:rFonts w:ascii="Times New Roman" w:hAnsi="Times New Roman"/>
          <w:sz w:val="24"/>
          <w:szCs w:val="24"/>
        </w:rPr>
        <w:tab/>
        <w:t xml:space="preserve">Ing. Branislav </w:t>
      </w:r>
      <w:proofErr w:type="spellStart"/>
      <w:r w:rsidRPr="00002CA1">
        <w:rPr>
          <w:rFonts w:ascii="Times New Roman" w:hAnsi="Times New Roman"/>
          <w:sz w:val="24"/>
          <w:szCs w:val="24"/>
        </w:rPr>
        <w:t>Chmel</w:t>
      </w:r>
      <w:proofErr w:type="spellEnd"/>
      <w:r w:rsidRPr="00002CA1">
        <w:rPr>
          <w:rFonts w:ascii="Times New Roman" w:hAnsi="Times New Roman"/>
          <w:sz w:val="24"/>
          <w:szCs w:val="24"/>
        </w:rPr>
        <w:t xml:space="preserve">, prokurista </w:t>
      </w:r>
    </w:p>
    <w:p w:rsidR="009B1312" w:rsidRPr="00002CA1" w:rsidRDefault="009B1312" w:rsidP="009B1312">
      <w:pPr>
        <w:spacing w:line="276" w:lineRule="auto"/>
        <w:jc w:val="both"/>
        <w:rPr>
          <w:sz w:val="24"/>
          <w:szCs w:val="24"/>
        </w:rPr>
      </w:pPr>
      <w:r w:rsidRPr="00002CA1">
        <w:rPr>
          <w:sz w:val="24"/>
          <w:szCs w:val="24"/>
        </w:rPr>
        <w:t>(ďalej len „</w:t>
      </w:r>
      <w:r w:rsidRPr="00002CA1">
        <w:rPr>
          <w:b/>
          <w:sz w:val="24"/>
          <w:szCs w:val="24"/>
        </w:rPr>
        <w:t>Objednávateľ</w:t>
      </w:r>
      <w:r w:rsidRPr="00002CA1">
        <w:rPr>
          <w:sz w:val="24"/>
          <w:szCs w:val="24"/>
        </w:rPr>
        <w:t>“)</w:t>
      </w:r>
    </w:p>
    <w:p w:rsidR="009B1312" w:rsidRDefault="009B1312" w:rsidP="009B1312">
      <w:pPr>
        <w:spacing w:line="276" w:lineRule="auto"/>
        <w:jc w:val="both"/>
        <w:rPr>
          <w:rFonts w:eastAsia="Calibri"/>
          <w:sz w:val="24"/>
          <w:szCs w:val="24"/>
          <w:lang w:eastAsia="en-US"/>
        </w:rPr>
      </w:pPr>
    </w:p>
    <w:p w:rsidR="009B1312" w:rsidRPr="00002CA1" w:rsidRDefault="009B1312" w:rsidP="009B1312">
      <w:pPr>
        <w:spacing w:line="276" w:lineRule="auto"/>
        <w:ind w:left="3540" w:firstLine="708"/>
        <w:jc w:val="both"/>
        <w:rPr>
          <w:rFonts w:eastAsia="Calibri"/>
          <w:sz w:val="24"/>
          <w:szCs w:val="24"/>
          <w:lang w:eastAsia="en-US"/>
        </w:rPr>
      </w:pPr>
      <w:r w:rsidRPr="00002CA1">
        <w:rPr>
          <w:rFonts w:eastAsia="Calibri"/>
          <w:sz w:val="24"/>
          <w:szCs w:val="24"/>
          <w:lang w:eastAsia="en-US"/>
        </w:rPr>
        <w:t>a</w:t>
      </w:r>
    </w:p>
    <w:p w:rsidR="009B1312" w:rsidRPr="00002CA1" w:rsidRDefault="009B1312" w:rsidP="009B1312">
      <w:pPr>
        <w:spacing w:line="276" w:lineRule="auto"/>
        <w:jc w:val="both"/>
        <w:rPr>
          <w:rFonts w:eastAsia="Calibri"/>
          <w:sz w:val="22"/>
          <w:szCs w:val="22"/>
          <w:lang w:eastAsia="en-US"/>
        </w:rPr>
      </w:pPr>
    </w:p>
    <w:p w:rsidR="009B1312" w:rsidRPr="00002CA1" w:rsidRDefault="009B1312" w:rsidP="009B1312">
      <w:pPr>
        <w:pBdr>
          <w:bottom w:val="single" w:sz="6" w:space="1" w:color="auto"/>
        </w:pBdr>
        <w:spacing w:line="276" w:lineRule="auto"/>
        <w:jc w:val="both"/>
        <w:rPr>
          <w:rFonts w:eastAsia="Calibri"/>
          <w:b/>
          <w:sz w:val="22"/>
          <w:szCs w:val="22"/>
          <w:lang w:eastAsia="en-US"/>
        </w:rPr>
      </w:pPr>
      <w:r w:rsidRPr="00002CA1">
        <w:rPr>
          <w:rFonts w:eastAsia="Calibri"/>
          <w:b/>
          <w:sz w:val="22"/>
          <w:szCs w:val="22"/>
          <w:lang w:eastAsia="en-US"/>
        </w:rPr>
        <w:t>Dodávateľ</w:t>
      </w:r>
    </w:p>
    <w:p w:rsidR="009B1312" w:rsidRPr="00002CA1" w:rsidRDefault="009B1312" w:rsidP="009B1312">
      <w:pPr>
        <w:pBdr>
          <w:bottom w:val="single" w:sz="6" w:space="1" w:color="auto"/>
        </w:pBdr>
        <w:spacing w:line="276" w:lineRule="auto"/>
        <w:jc w:val="both"/>
        <w:rPr>
          <w:rFonts w:eastAsia="Calibri"/>
          <w:sz w:val="24"/>
          <w:szCs w:val="24"/>
          <w:lang w:eastAsia="en-US"/>
        </w:rPr>
      </w:pPr>
      <w:r w:rsidRPr="00002CA1">
        <w:rPr>
          <w:rFonts w:eastAsia="Calibri"/>
          <w:sz w:val="24"/>
          <w:szCs w:val="24"/>
          <w:lang w:eastAsia="en-US"/>
        </w:rPr>
        <w:t>obchodné meno:</w:t>
      </w:r>
      <w:r w:rsidRPr="00002CA1">
        <w:rPr>
          <w:rFonts w:eastAsia="Calibri"/>
          <w:sz w:val="24"/>
          <w:szCs w:val="24"/>
          <w:lang w:eastAsia="en-US"/>
        </w:rPr>
        <w:tab/>
      </w:r>
      <w:r w:rsidRPr="00002CA1">
        <w:rPr>
          <w:rFonts w:eastAsia="Calibri"/>
          <w:sz w:val="24"/>
          <w:szCs w:val="24"/>
          <w:lang w:eastAsia="en-US"/>
        </w:rPr>
        <w:tab/>
        <w:t xml:space="preserve"> </w:t>
      </w:r>
      <w:r w:rsidRPr="00002CA1">
        <w:rPr>
          <w:rFonts w:eastAsia="Calibri"/>
          <w:sz w:val="24"/>
          <w:szCs w:val="24"/>
          <w:lang w:eastAsia="en-US"/>
        </w:rPr>
        <w:tab/>
      </w:r>
    </w:p>
    <w:p w:rsidR="009B1312" w:rsidRPr="00002CA1" w:rsidRDefault="009B1312" w:rsidP="009B1312">
      <w:pPr>
        <w:pBdr>
          <w:bottom w:val="single" w:sz="6" w:space="1" w:color="auto"/>
        </w:pBdr>
        <w:spacing w:line="276" w:lineRule="auto"/>
        <w:jc w:val="both"/>
        <w:rPr>
          <w:rFonts w:eastAsia="Calibri"/>
          <w:sz w:val="24"/>
          <w:szCs w:val="24"/>
          <w:lang w:eastAsia="en-US"/>
        </w:rPr>
      </w:pPr>
      <w:r w:rsidRPr="00002CA1">
        <w:rPr>
          <w:rFonts w:eastAsia="Calibri"/>
          <w:sz w:val="24"/>
          <w:szCs w:val="24"/>
          <w:lang w:eastAsia="en-US"/>
        </w:rPr>
        <w:t xml:space="preserve">sídlo: </w:t>
      </w:r>
      <w:r w:rsidRPr="00002CA1">
        <w:rPr>
          <w:rFonts w:eastAsia="Calibri"/>
          <w:sz w:val="24"/>
          <w:szCs w:val="24"/>
          <w:lang w:eastAsia="en-US"/>
        </w:rPr>
        <w:tab/>
      </w:r>
      <w:r w:rsidRPr="00002CA1">
        <w:rPr>
          <w:rFonts w:eastAsia="Calibri"/>
          <w:sz w:val="24"/>
          <w:szCs w:val="24"/>
          <w:lang w:eastAsia="en-US"/>
        </w:rPr>
        <w:tab/>
      </w:r>
      <w:r w:rsidRPr="00002CA1">
        <w:rPr>
          <w:rFonts w:eastAsia="Calibri"/>
          <w:sz w:val="24"/>
          <w:szCs w:val="24"/>
          <w:lang w:eastAsia="en-US"/>
        </w:rPr>
        <w:tab/>
      </w:r>
      <w:r w:rsidRPr="00002CA1">
        <w:rPr>
          <w:rFonts w:eastAsia="Calibri"/>
          <w:sz w:val="24"/>
          <w:szCs w:val="24"/>
          <w:lang w:eastAsia="en-US"/>
        </w:rPr>
        <w:tab/>
        <w:t xml:space="preserve"> </w:t>
      </w:r>
    </w:p>
    <w:p w:rsidR="009B1312" w:rsidRPr="00002CA1" w:rsidRDefault="009B1312" w:rsidP="009B1312">
      <w:pPr>
        <w:pBdr>
          <w:bottom w:val="single" w:sz="6" w:space="1" w:color="auto"/>
        </w:pBdr>
        <w:spacing w:line="276" w:lineRule="auto"/>
        <w:jc w:val="both"/>
        <w:rPr>
          <w:rFonts w:eastAsia="Calibri"/>
          <w:sz w:val="24"/>
          <w:szCs w:val="24"/>
          <w:lang w:eastAsia="en-US"/>
        </w:rPr>
      </w:pPr>
      <w:r w:rsidRPr="00002CA1">
        <w:rPr>
          <w:rFonts w:eastAsia="Calibri"/>
          <w:sz w:val="24"/>
          <w:szCs w:val="24"/>
          <w:lang w:eastAsia="en-US"/>
        </w:rPr>
        <w:t>zápis v obch. registri:</w:t>
      </w:r>
      <w:r w:rsidRPr="00002CA1">
        <w:rPr>
          <w:rFonts w:eastAsia="Calibri"/>
          <w:sz w:val="24"/>
          <w:szCs w:val="24"/>
          <w:lang w:eastAsia="en-US"/>
        </w:rPr>
        <w:tab/>
      </w:r>
      <w:r w:rsidRPr="00002CA1">
        <w:rPr>
          <w:rFonts w:eastAsia="Calibri"/>
          <w:sz w:val="24"/>
          <w:szCs w:val="24"/>
          <w:lang w:eastAsia="en-US"/>
        </w:rPr>
        <w:tab/>
      </w:r>
    </w:p>
    <w:p w:rsidR="009B1312" w:rsidRPr="00002CA1" w:rsidRDefault="009B1312" w:rsidP="009B1312">
      <w:pPr>
        <w:pBdr>
          <w:bottom w:val="single" w:sz="6" w:space="1" w:color="auto"/>
        </w:pBdr>
        <w:spacing w:line="276" w:lineRule="auto"/>
        <w:jc w:val="both"/>
        <w:rPr>
          <w:rFonts w:eastAsia="Calibri"/>
          <w:sz w:val="24"/>
          <w:szCs w:val="24"/>
          <w:lang w:eastAsia="en-US"/>
        </w:rPr>
      </w:pPr>
      <w:r w:rsidRPr="00002CA1">
        <w:rPr>
          <w:rFonts w:eastAsia="Calibri"/>
          <w:sz w:val="24"/>
          <w:szCs w:val="24"/>
          <w:lang w:eastAsia="en-US"/>
        </w:rPr>
        <w:t xml:space="preserve">dátum zápisu: </w:t>
      </w:r>
      <w:r w:rsidRPr="00002CA1">
        <w:rPr>
          <w:rFonts w:eastAsia="Calibri"/>
          <w:sz w:val="24"/>
          <w:szCs w:val="24"/>
          <w:lang w:eastAsia="en-US"/>
        </w:rPr>
        <w:tab/>
      </w:r>
      <w:r w:rsidRPr="00002CA1">
        <w:rPr>
          <w:rFonts w:eastAsia="Calibri"/>
          <w:sz w:val="24"/>
          <w:szCs w:val="24"/>
          <w:lang w:eastAsia="en-US"/>
        </w:rPr>
        <w:tab/>
      </w:r>
      <w:r w:rsidRPr="00002CA1">
        <w:rPr>
          <w:rFonts w:eastAsia="Calibri"/>
          <w:sz w:val="24"/>
          <w:szCs w:val="24"/>
          <w:lang w:eastAsia="en-US"/>
        </w:rPr>
        <w:tab/>
      </w:r>
    </w:p>
    <w:p w:rsidR="009B1312" w:rsidRPr="00002CA1" w:rsidRDefault="009B1312" w:rsidP="009B1312">
      <w:pPr>
        <w:pBdr>
          <w:bottom w:val="single" w:sz="6" w:space="1" w:color="auto"/>
        </w:pBdr>
        <w:spacing w:line="276" w:lineRule="auto"/>
        <w:jc w:val="both"/>
        <w:rPr>
          <w:rFonts w:eastAsia="Calibri"/>
          <w:sz w:val="24"/>
          <w:szCs w:val="24"/>
          <w:lang w:eastAsia="en-US"/>
        </w:rPr>
      </w:pPr>
      <w:r w:rsidRPr="00002CA1">
        <w:rPr>
          <w:rFonts w:eastAsia="Calibri"/>
          <w:sz w:val="24"/>
          <w:szCs w:val="24"/>
          <w:lang w:eastAsia="en-US"/>
        </w:rPr>
        <w:t xml:space="preserve">IČO: </w:t>
      </w:r>
      <w:r w:rsidRPr="00002CA1">
        <w:rPr>
          <w:rFonts w:eastAsia="Calibri"/>
          <w:sz w:val="24"/>
          <w:szCs w:val="24"/>
          <w:lang w:eastAsia="en-US"/>
        </w:rPr>
        <w:tab/>
      </w:r>
      <w:r w:rsidRPr="00002CA1">
        <w:rPr>
          <w:rFonts w:eastAsia="Calibri"/>
          <w:sz w:val="24"/>
          <w:szCs w:val="24"/>
          <w:lang w:eastAsia="en-US"/>
        </w:rPr>
        <w:tab/>
      </w:r>
      <w:r w:rsidRPr="00002CA1">
        <w:rPr>
          <w:rFonts w:eastAsia="Calibri"/>
          <w:sz w:val="24"/>
          <w:szCs w:val="24"/>
          <w:lang w:eastAsia="en-US"/>
        </w:rPr>
        <w:tab/>
      </w:r>
      <w:r w:rsidRPr="00002CA1">
        <w:rPr>
          <w:rFonts w:eastAsia="Calibri"/>
          <w:sz w:val="24"/>
          <w:szCs w:val="24"/>
          <w:lang w:eastAsia="en-US"/>
        </w:rPr>
        <w:tab/>
      </w:r>
    </w:p>
    <w:p w:rsidR="009B1312" w:rsidRPr="00002CA1" w:rsidRDefault="009B1312" w:rsidP="009B1312">
      <w:pPr>
        <w:pBdr>
          <w:bottom w:val="single" w:sz="6" w:space="1" w:color="auto"/>
        </w:pBdr>
        <w:spacing w:line="276" w:lineRule="auto"/>
        <w:jc w:val="both"/>
        <w:rPr>
          <w:rFonts w:eastAsia="Calibri"/>
          <w:sz w:val="24"/>
          <w:szCs w:val="24"/>
          <w:lang w:eastAsia="en-US"/>
        </w:rPr>
      </w:pPr>
      <w:r w:rsidRPr="00002CA1">
        <w:rPr>
          <w:rFonts w:eastAsia="Calibri"/>
          <w:sz w:val="24"/>
          <w:szCs w:val="24"/>
          <w:lang w:eastAsia="en-US"/>
        </w:rPr>
        <w:t>IČ DPH:</w:t>
      </w:r>
      <w:r w:rsidRPr="00002CA1">
        <w:rPr>
          <w:rFonts w:eastAsia="Calibri"/>
          <w:sz w:val="24"/>
          <w:szCs w:val="24"/>
          <w:lang w:eastAsia="en-US"/>
        </w:rPr>
        <w:tab/>
      </w:r>
      <w:r w:rsidRPr="00002CA1">
        <w:rPr>
          <w:rFonts w:eastAsia="Calibri"/>
          <w:sz w:val="24"/>
          <w:szCs w:val="24"/>
          <w:lang w:eastAsia="en-US"/>
        </w:rPr>
        <w:tab/>
      </w:r>
      <w:r w:rsidRPr="00002CA1">
        <w:rPr>
          <w:rFonts w:eastAsia="Calibri"/>
          <w:sz w:val="24"/>
          <w:szCs w:val="24"/>
          <w:lang w:eastAsia="en-US"/>
        </w:rPr>
        <w:tab/>
      </w:r>
      <w:r w:rsidRPr="00002CA1">
        <w:rPr>
          <w:rFonts w:eastAsia="Calibri"/>
          <w:sz w:val="24"/>
          <w:szCs w:val="24"/>
          <w:lang w:eastAsia="en-US"/>
        </w:rPr>
        <w:tab/>
        <w:t xml:space="preserve">   </w:t>
      </w:r>
      <w:r w:rsidRPr="00002CA1">
        <w:rPr>
          <w:rFonts w:eastAsia="Calibri"/>
          <w:sz w:val="24"/>
          <w:szCs w:val="24"/>
          <w:lang w:eastAsia="en-US"/>
        </w:rPr>
        <w:tab/>
      </w:r>
    </w:p>
    <w:p w:rsidR="009B1312" w:rsidRPr="00002CA1" w:rsidRDefault="009B1312" w:rsidP="009B1312">
      <w:pPr>
        <w:pBdr>
          <w:bottom w:val="single" w:sz="6" w:space="1" w:color="auto"/>
        </w:pBdr>
        <w:spacing w:line="276" w:lineRule="auto"/>
        <w:jc w:val="both"/>
        <w:rPr>
          <w:rFonts w:eastAsia="Calibri"/>
          <w:sz w:val="24"/>
          <w:szCs w:val="24"/>
          <w:lang w:eastAsia="en-US"/>
        </w:rPr>
      </w:pPr>
      <w:r w:rsidRPr="00002CA1">
        <w:rPr>
          <w:rFonts w:eastAsia="Calibri"/>
          <w:sz w:val="24"/>
          <w:szCs w:val="24"/>
          <w:lang w:eastAsia="en-US"/>
        </w:rPr>
        <w:t>bank. spojenie:</w:t>
      </w:r>
      <w:r w:rsidRPr="00002CA1">
        <w:rPr>
          <w:rFonts w:eastAsia="Calibri"/>
          <w:sz w:val="24"/>
          <w:szCs w:val="24"/>
          <w:lang w:eastAsia="en-US"/>
        </w:rPr>
        <w:tab/>
      </w:r>
      <w:r w:rsidRPr="00002CA1">
        <w:rPr>
          <w:rFonts w:eastAsia="Calibri"/>
          <w:sz w:val="24"/>
          <w:szCs w:val="24"/>
          <w:lang w:eastAsia="en-US"/>
        </w:rPr>
        <w:tab/>
      </w:r>
    </w:p>
    <w:p w:rsidR="009B1312" w:rsidRDefault="009B1312" w:rsidP="009B1312">
      <w:pPr>
        <w:pBdr>
          <w:bottom w:val="single" w:sz="6" w:space="1" w:color="auto"/>
        </w:pBdr>
        <w:spacing w:line="276" w:lineRule="auto"/>
        <w:jc w:val="both"/>
        <w:rPr>
          <w:rFonts w:eastAsia="Calibri"/>
          <w:sz w:val="24"/>
          <w:szCs w:val="24"/>
          <w:lang w:eastAsia="en-US"/>
        </w:rPr>
      </w:pPr>
      <w:r w:rsidRPr="00002CA1">
        <w:rPr>
          <w:rFonts w:eastAsia="Calibri"/>
          <w:sz w:val="24"/>
          <w:szCs w:val="24"/>
          <w:lang w:eastAsia="en-US"/>
        </w:rPr>
        <w:t>konanie menom spoločnosti:</w:t>
      </w:r>
      <w:r w:rsidRPr="00002CA1">
        <w:rPr>
          <w:rFonts w:eastAsia="Calibri"/>
          <w:sz w:val="24"/>
          <w:szCs w:val="24"/>
          <w:lang w:eastAsia="en-US"/>
        </w:rPr>
        <w:tab/>
        <w:t xml:space="preserve"> </w:t>
      </w:r>
    </w:p>
    <w:p w:rsidR="009B1312" w:rsidRDefault="009B1312" w:rsidP="009B1312">
      <w:pPr>
        <w:pBdr>
          <w:bottom w:val="single" w:sz="6" w:space="1" w:color="auto"/>
        </w:pBdr>
        <w:spacing w:line="276" w:lineRule="auto"/>
        <w:jc w:val="both"/>
        <w:rPr>
          <w:rFonts w:eastAsia="Calibri"/>
          <w:b/>
          <w:sz w:val="22"/>
          <w:szCs w:val="22"/>
          <w:lang w:eastAsia="en-US"/>
        </w:rPr>
      </w:pPr>
      <w:r w:rsidRPr="00002CA1">
        <w:rPr>
          <w:rFonts w:eastAsia="Calibri"/>
          <w:b/>
          <w:sz w:val="22"/>
          <w:szCs w:val="22"/>
          <w:lang w:eastAsia="en-US"/>
        </w:rPr>
        <w:t xml:space="preserve">(ďalej „Dodávateľ“) </w:t>
      </w:r>
    </w:p>
    <w:p w:rsidR="009B1312" w:rsidRDefault="009B1312" w:rsidP="009B1312">
      <w:pPr>
        <w:pBdr>
          <w:bottom w:val="single" w:sz="6" w:space="1" w:color="auto"/>
        </w:pBdr>
        <w:spacing w:line="276" w:lineRule="auto"/>
        <w:jc w:val="both"/>
        <w:rPr>
          <w:rFonts w:eastAsia="Calibri"/>
          <w:b/>
          <w:sz w:val="22"/>
          <w:szCs w:val="22"/>
          <w:lang w:eastAsia="en-US"/>
        </w:rPr>
      </w:pPr>
    </w:p>
    <w:p w:rsidR="009B1312" w:rsidRDefault="009B1312" w:rsidP="009B1312">
      <w:pPr>
        <w:pBdr>
          <w:bottom w:val="single" w:sz="6" w:space="1" w:color="auto"/>
        </w:pBdr>
        <w:spacing w:line="276" w:lineRule="auto"/>
        <w:jc w:val="both"/>
        <w:rPr>
          <w:rFonts w:eastAsia="Calibri"/>
          <w:sz w:val="22"/>
          <w:szCs w:val="22"/>
          <w:lang w:eastAsia="en-US"/>
        </w:rPr>
      </w:pPr>
      <w:r w:rsidRPr="00002CA1">
        <w:rPr>
          <w:rFonts w:eastAsia="Calibri"/>
          <w:sz w:val="22"/>
          <w:szCs w:val="22"/>
          <w:lang w:eastAsia="en-US"/>
        </w:rPr>
        <w:t>(Objednávateľ a Dodávateľ ďalej len „</w:t>
      </w:r>
      <w:r w:rsidRPr="00002CA1">
        <w:rPr>
          <w:rFonts w:eastAsia="Calibri"/>
          <w:b/>
          <w:sz w:val="22"/>
          <w:szCs w:val="22"/>
          <w:lang w:eastAsia="en-US"/>
        </w:rPr>
        <w:t>Zmluvné strany</w:t>
      </w:r>
      <w:r w:rsidRPr="00002CA1">
        <w:rPr>
          <w:rFonts w:eastAsia="Calibri"/>
          <w:sz w:val="22"/>
          <w:szCs w:val="22"/>
          <w:lang w:eastAsia="en-US"/>
        </w:rPr>
        <w:t>“ alebo jednotlivo ako „</w:t>
      </w:r>
      <w:r w:rsidRPr="00002CA1">
        <w:rPr>
          <w:rFonts w:eastAsia="Calibri"/>
          <w:b/>
          <w:sz w:val="22"/>
          <w:szCs w:val="22"/>
          <w:lang w:eastAsia="en-US"/>
        </w:rPr>
        <w:t>Zmluvná strana</w:t>
      </w:r>
      <w:r w:rsidRPr="00002CA1">
        <w:rPr>
          <w:rFonts w:eastAsia="Calibri"/>
          <w:sz w:val="22"/>
          <w:szCs w:val="22"/>
          <w:lang w:eastAsia="en-US"/>
        </w:rPr>
        <w:t>“) uzatvárajú zmluvu o vybudovaní a implementácii systémov riadenia (ďalej len „</w:t>
      </w:r>
      <w:r w:rsidRPr="00002CA1">
        <w:rPr>
          <w:rFonts w:eastAsia="Calibri"/>
          <w:b/>
          <w:sz w:val="22"/>
          <w:szCs w:val="22"/>
          <w:lang w:eastAsia="en-US"/>
        </w:rPr>
        <w:t>Zmluva</w:t>
      </w:r>
      <w:r w:rsidRPr="00002CA1">
        <w:rPr>
          <w:rFonts w:eastAsia="Calibri"/>
          <w:sz w:val="22"/>
          <w:szCs w:val="22"/>
          <w:lang w:eastAsia="en-US"/>
        </w:rPr>
        <w:t>“) v nasledovnom znení:</w:t>
      </w:r>
    </w:p>
    <w:p w:rsidR="009B1312" w:rsidRPr="006A65B9" w:rsidRDefault="009B1312" w:rsidP="009B1312">
      <w:pPr>
        <w:pBdr>
          <w:bottom w:val="single" w:sz="6" w:space="1" w:color="auto"/>
        </w:pBdr>
        <w:spacing w:line="276" w:lineRule="auto"/>
        <w:jc w:val="both"/>
        <w:rPr>
          <w:rFonts w:eastAsia="Calibri"/>
          <w:sz w:val="22"/>
          <w:szCs w:val="22"/>
          <w:lang w:eastAsia="en-US"/>
        </w:rPr>
      </w:pPr>
    </w:p>
    <w:p w:rsidR="009B1312" w:rsidRDefault="009B1312" w:rsidP="009B1312">
      <w:pPr>
        <w:spacing w:line="240" w:lineRule="atLeast"/>
        <w:jc w:val="center"/>
        <w:rPr>
          <w:rFonts w:ascii="Calibri" w:hAnsi="Calibri" w:cs="Calibri"/>
          <w:b/>
          <w:color w:val="FF0000"/>
          <w:sz w:val="22"/>
          <w:szCs w:val="22"/>
        </w:rPr>
      </w:pPr>
    </w:p>
    <w:p w:rsidR="009B1312" w:rsidRDefault="009B1312" w:rsidP="009B1312">
      <w:pPr>
        <w:spacing w:line="240" w:lineRule="atLeast"/>
        <w:jc w:val="center"/>
        <w:rPr>
          <w:rFonts w:ascii="Calibri" w:hAnsi="Calibri" w:cs="Calibri"/>
          <w:b/>
          <w:color w:val="FF0000"/>
          <w:sz w:val="22"/>
          <w:szCs w:val="22"/>
        </w:rPr>
      </w:pPr>
    </w:p>
    <w:p w:rsidR="009B1312" w:rsidRDefault="009B1312" w:rsidP="009B1312">
      <w:pPr>
        <w:spacing w:line="240" w:lineRule="atLeast"/>
        <w:jc w:val="center"/>
        <w:rPr>
          <w:b/>
          <w:sz w:val="22"/>
          <w:szCs w:val="22"/>
        </w:rPr>
      </w:pPr>
      <w:r w:rsidRPr="0076058D">
        <w:rPr>
          <w:b/>
          <w:sz w:val="22"/>
          <w:szCs w:val="22"/>
        </w:rPr>
        <w:t>Preambula</w:t>
      </w:r>
    </w:p>
    <w:p w:rsidR="009B1312" w:rsidRDefault="009B1312" w:rsidP="009B1312">
      <w:pPr>
        <w:spacing w:line="240" w:lineRule="atLeast"/>
        <w:jc w:val="center"/>
        <w:rPr>
          <w:b/>
          <w:sz w:val="22"/>
          <w:szCs w:val="22"/>
        </w:rPr>
      </w:pPr>
    </w:p>
    <w:p w:rsidR="009B1312" w:rsidRPr="0076058D" w:rsidRDefault="009B1312" w:rsidP="009B1312">
      <w:pPr>
        <w:spacing w:line="240" w:lineRule="atLeast"/>
        <w:jc w:val="center"/>
        <w:rPr>
          <w:b/>
          <w:sz w:val="22"/>
          <w:szCs w:val="22"/>
        </w:rPr>
      </w:pPr>
    </w:p>
    <w:p w:rsidR="009B1312" w:rsidRDefault="009B1312" w:rsidP="009B1312">
      <w:pPr>
        <w:pStyle w:val="Bezriadkovania"/>
        <w:widowControl w:val="0"/>
        <w:jc w:val="both"/>
        <w:rPr>
          <w:rFonts w:ascii="Times New Roman" w:hAnsi="Times New Roman"/>
          <w:iCs/>
          <w:szCs w:val="20"/>
        </w:rPr>
      </w:pPr>
      <w:r w:rsidRPr="0076058D">
        <w:rPr>
          <w:rFonts w:ascii="Times New Roman" w:hAnsi="Times New Roman"/>
          <w:iCs/>
          <w:szCs w:val="20"/>
        </w:rPr>
        <w:t xml:space="preserve">Táto zmluva je uzavretá na základe verejného obstarávania, ktoré uskutočnil Objednávateľ, ako výsledok zadávania podlimitnej zákazky postupom podľa zákona č. 343/2015 Z. z. o verejnom obstarávaní a o zmene a doplnení niektorých zákonov v znení neskorších predpisov (ďalej len „ZVO“)  vyhláseného výzvou na predkladanie ponúk zverejnenou vo Vestníku verejného obstarávania č........... </w:t>
      </w:r>
    </w:p>
    <w:p w:rsidR="009B1312" w:rsidRDefault="009B1312" w:rsidP="009B1312">
      <w:pPr>
        <w:pStyle w:val="Bezriadkovania"/>
        <w:widowControl w:val="0"/>
        <w:jc w:val="both"/>
        <w:rPr>
          <w:rFonts w:ascii="Times New Roman" w:hAnsi="Times New Roman"/>
          <w:iCs/>
          <w:szCs w:val="20"/>
        </w:rPr>
      </w:pPr>
    </w:p>
    <w:p w:rsidR="009B1312" w:rsidRDefault="009B1312" w:rsidP="009B1312">
      <w:pPr>
        <w:pStyle w:val="Bezriadkovania"/>
        <w:widowControl w:val="0"/>
        <w:jc w:val="both"/>
        <w:rPr>
          <w:rFonts w:ascii="Times New Roman" w:hAnsi="Times New Roman"/>
          <w:iCs/>
          <w:szCs w:val="20"/>
        </w:rPr>
      </w:pPr>
    </w:p>
    <w:p w:rsidR="009B1312" w:rsidRPr="0076058D" w:rsidRDefault="009B1312" w:rsidP="009B1312">
      <w:pPr>
        <w:pStyle w:val="Bezriadkovania"/>
        <w:widowControl w:val="0"/>
        <w:jc w:val="both"/>
        <w:rPr>
          <w:rFonts w:ascii="Times New Roman" w:hAnsi="Times New Roman"/>
          <w:b/>
          <w:iCs/>
          <w:szCs w:val="20"/>
        </w:rPr>
      </w:pPr>
    </w:p>
    <w:p w:rsidR="009B1312" w:rsidRPr="00002CA1" w:rsidRDefault="009B1312" w:rsidP="009B1312">
      <w:pPr>
        <w:spacing w:line="276" w:lineRule="auto"/>
        <w:jc w:val="center"/>
        <w:rPr>
          <w:rFonts w:eastAsia="Book Antiqua"/>
          <w:b/>
          <w:sz w:val="22"/>
          <w:szCs w:val="22"/>
          <w:lang w:eastAsia="en-US"/>
        </w:rPr>
      </w:pPr>
      <w:r>
        <w:rPr>
          <w:rFonts w:eastAsia="Book Antiqua"/>
          <w:b/>
          <w:sz w:val="22"/>
          <w:szCs w:val="22"/>
          <w:lang w:eastAsia="en-US"/>
        </w:rPr>
        <w:lastRenderedPageBreak/>
        <w:t>Článok I</w:t>
      </w:r>
    </w:p>
    <w:p w:rsidR="009B1312" w:rsidRPr="00002CA1" w:rsidRDefault="009B1312" w:rsidP="009B1312">
      <w:pPr>
        <w:spacing w:line="276" w:lineRule="auto"/>
        <w:jc w:val="center"/>
        <w:rPr>
          <w:rFonts w:eastAsia="Book Antiqua"/>
          <w:b/>
          <w:sz w:val="22"/>
          <w:szCs w:val="22"/>
          <w:lang w:eastAsia="en-US"/>
        </w:rPr>
      </w:pPr>
      <w:r w:rsidRPr="00002CA1">
        <w:rPr>
          <w:rFonts w:eastAsia="Book Antiqua"/>
          <w:b/>
          <w:sz w:val="22"/>
          <w:szCs w:val="22"/>
          <w:lang w:eastAsia="en-US"/>
        </w:rPr>
        <w:t>PREDMET ZMLUVY</w:t>
      </w:r>
    </w:p>
    <w:p w:rsidR="009B1312" w:rsidRPr="00002CA1" w:rsidRDefault="009B1312" w:rsidP="009B1312">
      <w:pPr>
        <w:spacing w:line="276" w:lineRule="auto"/>
        <w:rPr>
          <w:rFonts w:eastAsia="Book Antiqua"/>
          <w:b/>
          <w:sz w:val="22"/>
          <w:szCs w:val="22"/>
          <w:lang w:eastAsia="en-US"/>
        </w:rPr>
      </w:pPr>
    </w:p>
    <w:p w:rsidR="009B1312" w:rsidRPr="00002CA1" w:rsidRDefault="009B1312" w:rsidP="009B1312">
      <w:pPr>
        <w:numPr>
          <w:ilvl w:val="0"/>
          <w:numId w:val="2"/>
        </w:numPr>
        <w:overflowPunct w:val="0"/>
        <w:autoSpaceDE w:val="0"/>
        <w:autoSpaceDN w:val="0"/>
        <w:adjustRightInd w:val="0"/>
        <w:spacing w:after="200" w:line="276" w:lineRule="auto"/>
        <w:ind w:left="567" w:hanging="567"/>
        <w:contextualSpacing/>
        <w:jc w:val="both"/>
        <w:textAlignment w:val="baseline"/>
        <w:rPr>
          <w:rFonts w:eastAsia="Calibri"/>
          <w:sz w:val="22"/>
          <w:szCs w:val="22"/>
          <w:lang w:eastAsia="en-US"/>
        </w:rPr>
      </w:pPr>
      <w:r w:rsidRPr="00002CA1">
        <w:rPr>
          <w:rFonts w:eastAsia="Calibri"/>
          <w:sz w:val="22"/>
          <w:szCs w:val="22"/>
          <w:lang w:eastAsia="en-US"/>
        </w:rPr>
        <w:t>Dodávateľ sa na základe tejto Zmluvy a za podmienok v nej stanovených zaväzuje pre Objednávateľa uskutočniť plnenie špecifikované v bode 1.2 tohto článku a Objednávateľ sa zaväzuje za plnenie podľa tejto Zmluvy zaplatiť Dodávateľovi cenu podľa tejto Zmluvy a to za podmienok uvedených v tejto Zmluve.</w:t>
      </w:r>
    </w:p>
    <w:p w:rsidR="009B1312" w:rsidRPr="00002CA1" w:rsidRDefault="009B1312" w:rsidP="009B1312">
      <w:pPr>
        <w:overflowPunct w:val="0"/>
        <w:autoSpaceDE w:val="0"/>
        <w:autoSpaceDN w:val="0"/>
        <w:adjustRightInd w:val="0"/>
        <w:spacing w:line="276" w:lineRule="auto"/>
        <w:jc w:val="both"/>
        <w:textAlignment w:val="baseline"/>
        <w:rPr>
          <w:rFonts w:eastAsia="Calibri"/>
          <w:sz w:val="22"/>
          <w:szCs w:val="22"/>
          <w:lang w:eastAsia="en-US"/>
        </w:rPr>
      </w:pPr>
    </w:p>
    <w:p w:rsidR="009B1312" w:rsidRPr="00002CA1" w:rsidRDefault="009B1312" w:rsidP="009B1312">
      <w:pPr>
        <w:spacing w:after="200" w:line="276" w:lineRule="auto"/>
        <w:ind w:left="567" w:hanging="567"/>
        <w:jc w:val="both"/>
        <w:rPr>
          <w:rFonts w:eastAsia="Calibri"/>
          <w:b/>
          <w:bCs/>
          <w:sz w:val="22"/>
          <w:szCs w:val="22"/>
          <w:lang w:eastAsia="en-US"/>
        </w:rPr>
      </w:pPr>
      <w:r>
        <w:rPr>
          <w:rFonts w:eastAsia="Calibri"/>
          <w:sz w:val="22"/>
          <w:szCs w:val="22"/>
          <w:lang w:eastAsia="en-US"/>
        </w:rPr>
        <w:t xml:space="preserve">1.2  </w:t>
      </w:r>
      <w:r w:rsidRPr="00002CA1">
        <w:rPr>
          <w:rFonts w:eastAsia="Calibri"/>
          <w:sz w:val="22"/>
          <w:szCs w:val="22"/>
          <w:lang w:eastAsia="en-US"/>
        </w:rPr>
        <w:t>Predmetom plnenia podľa tejto Zmluvy je dodanie služieb spojených s implementáciou požiadaviek noriem ISO a požiadaviek odberateľov na systém riadenia  pre projekt Výskum bezpečnosti dopravných prostriedkov v súlade s medzinárodnými normami a platnou legislatívou, a to:</w:t>
      </w:r>
    </w:p>
    <w:p w:rsidR="009B1312" w:rsidRPr="00B2089E" w:rsidRDefault="009B1312" w:rsidP="009B1312">
      <w:pPr>
        <w:numPr>
          <w:ilvl w:val="0"/>
          <w:numId w:val="8"/>
        </w:numPr>
        <w:spacing w:after="200" w:line="276" w:lineRule="auto"/>
        <w:ind w:left="851" w:hanging="284"/>
        <w:jc w:val="both"/>
        <w:rPr>
          <w:rFonts w:eastAsia="Calibri"/>
          <w:b/>
          <w:bCs/>
          <w:sz w:val="22"/>
          <w:szCs w:val="22"/>
          <w:lang w:eastAsia="en-US"/>
        </w:rPr>
      </w:pPr>
      <w:r w:rsidRPr="00B2089E">
        <w:rPr>
          <w:rFonts w:eastAsia="Calibri"/>
          <w:sz w:val="22"/>
          <w:szCs w:val="22"/>
          <w:lang w:eastAsia="en-US"/>
        </w:rPr>
        <w:t>systému manažérstva kvality podľa požiadaviek normy ISO 9001:2015,</w:t>
      </w:r>
    </w:p>
    <w:p w:rsidR="009B1312" w:rsidRPr="00B2089E" w:rsidRDefault="009B1312" w:rsidP="009B1312">
      <w:pPr>
        <w:numPr>
          <w:ilvl w:val="0"/>
          <w:numId w:val="8"/>
        </w:numPr>
        <w:spacing w:after="200" w:line="276" w:lineRule="auto"/>
        <w:ind w:left="851" w:hanging="284"/>
        <w:jc w:val="both"/>
        <w:rPr>
          <w:rFonts w:eastAsia="Calibri"/>
          <w:sz w:val="22"/>
          <w:szCs w:val="22"/>
          <w:lang w:eastAsia="en-US"/>
        </w:rPr>
      </w:pPr>
      <w:r w:rsidRPr="00B2089E">
        <w:rPr>
          <w:rFonts w:eastAsia="Calibri"/>
          <w:sz w:val="22"/>
          <w:szCs w:val="22"/>
          <w:lang w:eastAsia="en-US"/>
        </w:rPr>
        <w:t>systému environmentálneho manažérstva podľa požiadaviek ISO 14001:2015,</w:t>
      </w:r>
    </w:p>
    <w:p w:rsidR="009B1312" w:rsidRPr="00B2089E" w:rsidRDefault="009B1312" w:rsidP="009B1312">
      <w:pPr>
        <w:numPr>
          <w:ilvl w:val="0"/>
          <w:numId w:val="8"/>
        </w:numPr>
        <w:spacing w:after="200" w:line="276" w:lineRule="auto"/>
        <w:ind w:left="851" w:hanging="284"/>
        <w:jc w:val="both"/>
        <w:rPr>
          <w:rFonts w:eastAsia="Calibri"/>
          <w:sz w:val="22"/>
          <w:szCs w:val="22"/>
          <w:lang w:eastAsia="en-US"/>
        </w:rPr>
      </w:pPr>
      <w:r w:rsidRPr="00B2089E">
        <w:rPr>
          <w:rFonts w:eastAsia="Calibri"/>
          <w:sz w:val="22"/>
          <w:szCs w:val="22"/>
          <w:lang w:eastAsia="en-US"/>
        </w:rPr>
        <w:t>systému manažérstva bezpečnosti a ochrany zdravia pri práci podľa požiadaviek ISO 45001:2018,</w:t>
      </w:r>
    </w:p>
    <w:p w:rsidR="009B1312" w:rsidRPr="00B2089E" w:rsidRDefault="009B1312" w:rsidP="009B1312">
      <w:pPr>
        <w:numPr>
          <w:ilvl w:val="0"/>
          <w:numId w:val="8"/>
        </w:numPr>
        <w:spacing w:after="200" w:line="276" w:lineRule="auto"/>
        <w:ind w:left="851" w:hanging="284"/>
        <w:jc w:val="both"/>
        <w:rPr>
          <w:rFonts w:eastAsia="Calibri"/>
          <w:sz w:val="22"/>
          <w:szCs w:val="22"/>
          <w:lang w:eastAsia="en-US"/>
        </w:rPr>
      </w:pPr>
      <w:r w:rsidRPr="00B2089E">
        <w:rPr>
          <w:rFonts w:eastAsia="Calibri"/>
          <w:sz w:val="22"/>
          <w:szCs w:val="22"/>
          <w:lang w:eastAsia="en-US"/>
        </w:rPr>
        <w:t>systému energetického manažérstva podľa požiadaviek ISO 50001:2011,</w:t>
      </w:r>
    </w:p>
    <w:p w:rsidR="009B1312" w:rsidRPr="00B2089E" w:rsidRDefault="009B1312" w:rsidP="009B1312">
      <w:pPr>
        <w:numPr>
          <w:ilvl w:val="0"/>
          <w:numId w:val="8"/>
        </w:numPr>
        <w:spacing w:after="200" w:line="276" w:lineRule="auto"/>
        <w:ind w:left="851" w:hanging="284"/>
        <w:jc w:val="both"/>
        <w:rPr>
          <w:rFonts w:eastAsia="Calibri"/>
          <w:sz w:val="22"/>
          <w:szCs w:val="22"/>
          <w:lang w:eastAsia="en-US"/>
        </w:rPr>
      </w:pPr>
      <w:r w:rsidRPr="00B2089E">
        <w:rPr>
          <w:rFonts w:eastAsia="Calibri"/>
          <w:sz w:val="22"/>
          <w:szCs w:val="22"/>
          <w:lang w:eastAsia="en-US"/>
        </w:rPr>
        <w:t>systému manažérstva bezpečnosti informácií podľa ISO/ICE  27001:2014</w:t>
      </w:r>
    </w:p>
    <w:p w:rsidR="009B1312" w:rsidRPr="00B2089E" w:rsidRDefault="009B1312" w:rsidP="009B1312">
      <w:pPr>
        <w:numPr>
          <w:ilvl w:val="0"/>
          <w:numId w:val="8"/>
        </w:numPr>
        <w:spacing w:after="200" w:line="276" w:lineRule="auto"/>
        <w:ind w:left="851" w:hanging="284"/>
        <w:jc w:val="both"/>
        <w:rPr>
          <w:rFonts w:eastAsia="Calibri"/>
          <w:sz w:val="22"/>
          <w:szCs w:val="22"/>
          <w:lang w:eastAsia="en-US"/>
        </w:rPr>
      </w:pPr>
      <w:r w:rsidRPr="00B2089E">
        <w:rPr>
          <w:rFonts w:eastAsia="Calibri"/>
          <w:sz w:val="22"/>
          <w:szCs w:val="22"/>
          <w:shd w:val="clear" w:color="auto" w:fill="FFFFFF"/>
          <w:lang w:eastAsia="en-US"/>
        </w:rPr>
        <w:t>Všeobecné požiadavky na kompetentnosť skúšobných a kalibračných laboratórií podľa ISO/ICE 17025:2017</w:t>
      </w:r>
    </w:p>
    <w:p w:rsidR="009B1312" w:rsidRPr="00B2089E" w:rsidRDefault="009B1312" w:rsidP="009B1312">
      <w:pPr>
        <w:numPr>
          <w:ilvl w:val="0"/>
          <w:numId w:val="8"/>
        </w:numPr>
        <w:spacing w:after="200" w:line="276" w:lineRule="auto"/>
        <w:ind w:left="851" w:hanging="284"/>
        <w:jc w:val="both"/>
        <w:rPr>
          <w:rFonts w:eastAsia="Calibri"/>
          <w:sz w:val="22"/>
          <w:szCs w:val="22"/>
          <w:lang w:eastAsia="en-US"/>
        </w:rPr>
      </w:pPr>
      <w:r w:rsidRPr="00B2089E">
        <w:rPr>
          <w:rFonts w:eastAsia="Calibri"/>
          <w:sz w:val="22"/>
          <w:szCs w:val="22"/>
          <w:lang w:eastAsia="en-US"/>
        </w:rPr>
        <w:t>implementácie požiadaviek GDPR a zákona o ochrane osobných údajov (č. 18/2018 Z. z.)</w:t>
      </w:r>
    </w:p>
    <w:p w:rsidR="009B1312" w:rsidRPr="00B2089E" w:rsidRDefault="009B1312" w:rsidP="009B1312">
      <w:pPr>
        <w:numPr>
          <w:ilvl w:val="0"/>
          <w:numId w:val="8"/>
        </w:numPr>
        <w:spacing w:after="200" w:line="276" w:lineRule="auto"/>
        <w:ind w:left="851" w:hanging="284"/>
        <w:jc w:val="both"/>
        <w:rPr>
          <w:rFonts w:eastAsia="Calibri"/>
          <w:sz w:val="22"/>
          <w:szCs w:val="22"/>
          <w:lang w:eastAsia="en-US"/>
        </w:rPr>
      </w:pPr>
      <w:proofErr w:type="spellStart"/>
      <w:r>
        <w:rPr>
          <w:rFonts w:eastAsia="Calibri"/>
          <w:sz w:val="22"/>
          <w:szCs w:val="22"/>
          <w:lang w:val="en-US" w:eastAsia="en-US"/>
        </w:rPr>
        <w:t>p</w:t>
      </w:r>
      <w:bookmarkStart w:id="0" w:name="_GoBack"/>
      <w:bookmarkEnd w:id="0"/>
      <w:r w:rsidRPr="00B2089E">
        <w:rPr>
          <w:rFonts w:eastAsia="Calibri"/>
          <w:sz w:val="22"/>
          <w:szCs w:val="22"/>
          <w:lang w:val="en-US" w:eastAsia="en-US"/>
        </w:rPr>
        <w:t>lnenie</w:t>
      </w:r>
      <w:proofErr w:type="spellEnd"/>
      <w:r w:rsidRPr="00B2089E">
        <w:rPr>
          <w:rFonts w:eastAsia="Calibri"/>
          <w:sz w:val="22"/>
          <w:szCs w:val="22"/>
          <w:lang w:val="en-US" w:eastAsia="en-US"/>
        </w:rPr>
        <w:t xml:space="preserve"> </w:t>
      </w:r>
      <w:proofErr w:type="spellStart"/>
      <w:r w:rsidRPr="00B2089E">
        <w:rPr>
          <w:rFonts w:eastAsia="Calibri"/>
          <w:sz w:val="22"/>
          <w:szCs w:val="22"/>
          <w:lang w:val="en-US" w:eastAsia="en-US"/>
        </w:rPr>
        <w:t>požiadaviek</w:t>
      </w:r>
      <w:proofErr w:type="spellEnd"/>
      <w:r w:rsidRPr="00B2089E">
        <w:rPr>
          <w:rFonts w:eastAsia="Calibri"/>
          <w:sz w:val="22"/>
          <w:szCs w:val="22"/>
          <w:lang w:val="en-US" w:eastAsia="en-US"/>
        </w:rPr>
        <w:t xml:space="preserve"> pre </w:t>
      </w:r>
      <w:proofErr w:type="spellStart"/>
      <w:r w:rsidRPr="00B2089E">
        <w:rPr>
          <w:rFonts w:eastAsia="Calibri"/>
          <w:sz w:val="22"/>
          <w:szCs w:val="22"/>
          <w:lang w:val="en-US" w:eastAsia="en-US"/>
        </w:rPr>
        <w:t>certifikáciu</w:t>
      </w:r>
      <w:proofErr w:type="spellEnd"/>
      <w:r w:rsidRPr="00B2089E">
        <w:rPr>
          <w:rFonts w:eastAsia="Calibri"/>
          <w:sz w:val="22"/>
          <w:szCs w:val="22"/>
          <w:lang w:val="en-US" w:eastAsia="en-US"/>
        </w:rPr>
        <w:t xml:space="preserve"> TISAX - Trusted Information Security Assessment Exchange</w:t>
      </w:r>
    </w:p>
    <w:p w:rsidR="009B1312" w:rsidRPr="00002CA1" w:rsidRDefault="009B1312" w:rsidP="009B1312">
      <w:pPr>
        <w:spacing w:line="276" w:lineRule="auto"/>
        <w:jc w:val="center"/>
        <w:rPr>
          <w:rFonts w:eastAsia="Book Antiqua"/>
          <w:b/>
          <w:sz w:val="22"/>
          <w:szCs w:val="22"/>
          <w:lang w:eastAsia="en-US"/>
        </w:rPr>
      </w:pPr>
      <w:r w:rsidRPr="00002CA1">
        <w:rPr>
          <w:rFonts w:eastAsia="Book Antiqua"/>
          <w:b/>
          <w:sz w:val="22"/>
          <w:szCs w:val="22"/>
          <w:lang w:eastAsia="en-US"/>
        </w:rPr>
        <w:t>Článok II.</w:t>
      </w:r>
    </w:p>
    <w:p w:rsidR="009B1312" w:rsidRPr="00002CA1" w:rsidRDefault="009B1312" w:rsidP="009B1312">
      <w:pPr>
        <w:spacing w:line="276" w:lineRule="auto"/>
        <w:jc w:val="center"/>
        <w:rPr>
          <w:rFonts w:eastAsia="Book Antiqua"/>
          <w:b/>
          <w:sz w:val="22"/>
          <w:szCs w:val="22"/>
          <w:lang w:eastAsia="en-US"/>
        </w:rPr>
      </w:pPr>
      <w:r w:rsidRPr="00002CA1">
        <w:rPr>
          <w:rFonts w:eastAsia="Book Antiqua"/>
          <w:b/>
          <w:sz w:val="22"/>
          <w:szCs w:val="22"/>
          <w:lang w:eastAsia="en-US"/>
        </w:rPr>
        <w:t>PRÁVA A POVINNOSTI ZMLUVNÝCH STRÁN</w:t>
      </w:r>
    </w:p>
    <w:p w:rsidR="009B1312" w:rsidRPr="00002CA1" w:rsidRDefault="009B1312" w:rsidP="009B1312">
      <w:pPr>
        <w:spacing w:line="276" w:lineRule="auto"/>
        <w:rPr>
          <w:rFonts w:eastAsia="Book Antiqua"/>
          <w:b/>
          <w:sz w:val="22"/>
          <w:szCs w:val="22"/>
          <w:lang w:eastAsia="en-US"/>
        </w:rPr>
      </w:pP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Book Antiqua"/>
          <w:sz w:val="22"/>
          <w:szCs w:val="22"/>
          <w:lang w:eastAsia="en-US"/>
        </w:rPr>
        <w:t>Dodávateľ sa zaväzuje v</w:t>
      </w:r>
      <w:r w:rsidRPr="00002CA1">
        <w:rPr>
          <w:rFonts w:eastAsia="Calibri"/>
          <w:sz w:val="22"/>
          <w:szCs w:val="22"/>
          <w:lang w:eastAsia="en-US"/>
        </w:rPr>
        <w:t>ykonať úvodnú analýzu súčasného stavu systému riadenia  Objednávateľa vo vzťahu k požiadavkám noriem ISO a legislatívnym požiadavkám. Výstupom analýzy bude Správa z analýzy, ktorej obsahom bude:</w:t>
      </w:r>
    </w:p>
    <w:p w:rsidR="009B1312" w:rsidRPr="00002CA1" w:rsidRDefault="009B1312" w:rsidP="009B1312">
      <w:pPr>
        <w:numPr>
          <w:ilvl w:val="0"/>
          <w:numId w:val="4"/>
        </w:numPr>
        <w:spacing w:after="200" w:line="276" w:lineRule="auto"/>
        <w:ind w:left="993" w:hanging="426"/>
        <w:contextualSpacing/>
        <w:jc w:val="both"/>
        <w:rPr>
          <w:rFonts w:eastAsia="Book Antiqua"/>
          <w:sz w:val="22"/>
          <w:szCs w:val="22"/>
          <w:lang w:eastAsia="en-US"/>
        </w:rPr>
      </w:pPr>
      <w:r w:rsidRPr="00002CA1">
        <w:rPr>
          <w:rFonts w:eastAsia="Book Antiqua"/>
          <w:sz w:val="22"/>
          <w:szCs w:val="22"/>
          <w:lang w:eastAsia="en-US"/>
        </w:rPr>
        <w:t>súčasná úroveň plnenia jednotlivých bodov noriem,</w:t>
      </w:r>
    </w:p>
    <w:p w:rsidR="009B1312" w:rsidRPr="00002CA1" w:rsidRDefault="009B1312" w:rsidP="009B1312">
      <w:pPr>
        <w:numPr>
          <w:ilvl w:val="0"/>
          <w:numId w:val="4"/>
        </w:numPr>
        <w:spacing w:after="200" w:line="276" w:lineRule="auto"/>
        <w:ind w:left="993" w:hanging="426"/>
        <w:contextualSpacing/>
        <w:jc w:val="both"/>
        <w:rPr>
          <w:rFonts w:eastAsia="Book Antiqua"/>
          <w:sz w:val="22"/>
          <w:szCs w:val="22"/>
          <w:lang w:eastAsia="en-US"/>
        </w:rPr>
      </w:pPr>
      <w:r w:rsidRPr="00002CA1">
        <w:rPr>
          <w:rFonts w:eastAsia="Book Antiqua"/>
          <w:sz w:val="22"/>
          <w:szCs w:val="22"/>
          <w:lang w:eastAsia="en-US"/>
        </w:rPr>
        <w:t>identifikácia všetkých nedostatkov a slabých miest vzhľadom na požiadavky noriem,</w:t>
      </w:r>
    </w:p>
    <w:p w:rsidR="009B1312" w:rsidRPr="00002CA1" w:rsidRDefault="009B1312" w:rsidP="009B1312">
      <w:pPr>
        <w:numPr>
          <w:ilvl w:val="0"/>
          <w:numId w:val="4"/>
        </w:numPr>
        <w:spacing w:after="200" w:line="276" w:lineRule="auto"/>
        <w:ind w:left="993" w:hanging="426"/>
        <w:contextualSpacing/>
        <w:jc w:val="both"/>
        <w:rPr>
          <w:rFonts w:eastAsia="Book Antiqua"/>
          <w:sz w:val="22"/>
          <w:szCs w:val="22"/>
          <w:lang w:eastAsia="en-US"/>
        </w:rPr>
      </w:pPr>
      <w:r w:rsidRPr="00002CA1">
        <w:rPr>
          <w:rFonts w:eastAsia="Book Antiqua"/>
          <w:sz w:val="22"/>
          <w:szCs w:val="22"/>
          <w:lang w:eastAsia="en-US"/>
        </w:rPr>
        <w:t>návrh korekčných činností nevyhnutých na dosiahnutie zhody systémov manažérstva požiadavkami noriem ISO,</w:t>
      </w:r>
    </w:p>
    <w:p w:rsidR="009B1312" w:rsidRPr="00002CA1" w:rsidRDefault="009B1312" w:rsidP="009B1312">
      <w:pPr>
        <w:spacing w:line="276" w:lineRule="auto"/>
        <w:jc w:val="both"/>
        <w:rPr>
          <w:rFonts w:eastAsia="Book Antiqua"/>
          <w:sz w:val="22"/>
          <w:szCs w:val="22"/>
          <w:lang w:eastAsia="en-US"/>
        </w:rPr>
      </w:pP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Calibri"/>
          <w:sz w:val="22"/>
          <w:szCs w:val="22"/>
          <w:lang w:eastAsia="en-US"/>
        </w:rPr>
        <w:t>Dodávateľ sa zaväzuje spolupracovať pri riešení úloh vyplývajúcich z úvodnej analýzy poradenskou formou a poskytovať návrhy pre prípravu a spracovanie dokumentácie podľa noriem ISO.</w:t>
      </w:r>
    </w:p>
    <w:p w:rsidR="009B1312" w:rsidRPr="00002CA1" w:rsidRDefault="009B1312" w:rsidP="009B1312">
      <w:pPr>
        <w:spacing w:line="276" w:lineRule="auto"/>
        <w:jc w:val="both"/>
        <w:rPr>
          <w:rFonts w:eastAsia="Book Antiqua"/>
          <w:sz w:val="22"/>
          <w:szCs w:val="22"/>
          <w:lang w:eastAsia="en-US"/>
        </w:rPr>
      </w:pP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Calibri"/>
          <w:sz w:val="22"/>
          <w:szCs w:val="22"/>
          <w:lang w:eastAsia="en-US"/>
        </w:rPr>
        <w:t>Dodávateľ sa zaväzuje spolupracovať pri vypracovaní dokumentácie systémov  manažérstva, a vytvoriť a zaviesť funkčné a efektívne systémy manažérstva, ktoré bude spĺňať požiadavky noriem ISO.</w:t>
      </w:r>
    </w:p>
    <w:p w:rsidR="009B1312" w:rsidRPr="00002CA1" w:rsidRDefault="009B1312" w:rsidP="009B1312">
      <w:pPr>
        <w:spacing w:line="276" w:lineRule="auto"/>
        <w:jc w:val="both"/>
        <w:rPr>
          <w:rFonts w:eastAsia="Book Antiqua"/>
          <w:sz w:val="22"/>
          <w:szCs w:val="22"/>
          <w:lang w:eastAsia="en-US"/>
        </w:rPr>
      </w:pP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Calibri"/>
          <w:sz w:val="22"/>
          <w:szCs w:val="22"/>
          <w:lang w:eastAsia="en-US"/>
        </w:rPr>
        <w:lastRenderedPageBreak/>
        <w:t>Dodávateľ sa zaväzuje vo forme interných previerok priebežne, počas celého obdobia implementácie systémov manažérstva monitorovať funkčnosť, overovať úroveň zavedených systémov a na zistené nezhody upozorňovať a navrhnúť nápravné opatrenia.</w:t>
      </w:r>
    </w:p>
    <w:p w:rsidR="009B1312" w:rsidRPr="00002CA1" w:rsidRDefault="009B1312" w:rsidP="009B1312">
      <w:pPr>
        <w:spacing w:line="276" w:lineRule="auto"/>
        <w:jc w:val="both"/>
        <w:rPr>
          <w:rFonts w:eastAsia="Book Antiqua"/>
          <w:sz w:val="22"/>
          <w:szCs w:val="22"/>
          <w:lang w:eastAsia="en-US"/>
        </w:rPr>
      </w:pP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Calibri"/>
          <w:sz w:val="22"/>
          <w:szCs w:val="22"/>
          <w:lang w:eastAsia="en-US"/>
        </w:rPr>
        <w:t>Dodávateľ sa zaväzuje vykonať interný audit, ktorého úlohou bude záverečné overenie funkčnosti zavedených systémov  manažérstva tak, aby sa certifikáciou preukázala zhoda vybudovaných a implementovaných integrovaných manažérskych systémov s požiadavkami noriem ISO a požiadavkami akejkoľvek certifikačnej organizácie. Výstupom bude správa z Interného auditu.</w:t>
      </w:r>
    </w:p>
    <w:p w:rsidR="009B1312" w:rsidRPr="00002CA1" w:rsidRDefault="009B1312" w:rsidP="009B1312">
      <w:pPr>
        <w:spacing w:line="276" w:lineRule="auto"/>
        <w:jc w:val="both"/>
        <w:rPr>
          <w:rFonts w:eastAsia="Book Antiqua"/>
          <w:sz w:val="22"/>
          <w:szCs w:val="22"/>
          <w:lang w:eastAsia="en-US"/>
        </w:rPr>
      </w:pPr>
    </w:p>
    <w:p w:rsidR="009B1312" w:rsidRPr="006A65B9"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Calibri"/>
          <w:sz w:val="22"/>
          <w:szCs w:val="22"/>
          <w:lang w:eastAsia="en-US"/>
        </w:rPr>
        <w:t>Dodávateľ sa zaväzuje riadne a včas plniť všetky záväzky stanovené touto Zmluvou ako aj všetkými jej dodatkami, pokiaľ k tomu Objednávateľ vytvorí potrebné podmienky uvedené v bodoch 2.9 až 2.14 tohto článku.</w:t>
      </w:r>
    </w:p>
    <w:p w:rsidR="009B1312" w:rsidRPr="00002CA1" w:rsidRDefault="009B1312" w:rsidP="009B1312">
      <w:pPr>
        <w:spacing w:after="200" w:line="276" w:lineRule="auto"/>
        <w:contextualSpacing/>
        <w:jc w:val="both"/>
        <w:rPr>
          <w:rFonts w:eastAsia="Book Antiqua"/>
          <w:sz w:val="22"/>
          <w:szCs w:val="22"/>
          <w:lang w:eastAsia="en-US"/>
        </w:rPr>
      </w:pP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Calibri"/>
          <w:sz w:val="22"/>
          <w:szCs w:val="22"/>
          <w:lang w:eastAsia="en-US"/>
        </w:rPr>
        <w:t>Objednávateľ sa zaväzuje ku dňu podpisu tejto Zmluvy určiť a oznámiť Dodávateľovi zodpovednú/é osobu/y so zadefinovanými zodpovednosťami a právomocami potrebnými k vybudovaniu manažérskych systémov</w:t>
      </w:r>
      <w:r w:rsidRPr="00002CA1">
        <w:rPr>
          <w:rFonts w:eastAsia="Calibri"/>
          <w:b/>
          <w:sz w:val="22"/>
          <w:szCs w:val="22"/>
          <w:lang w:eastAsia="en-US"/>
        </w:rPr>
        <w:t xml:space="preserve">. </w:t>
      </w:r>
      <w:r w:rsidRPr="00002CA1">
        <w:rPr>
          <w:rFonts w:eastAsia="Calibri"/>
          <w:sz w:val="22"/>
          <w:szCs w:val="22"/>
          <w:lang w:eastAsia="en-US"/>
        </w:rPr>
        <w:t>Táto/tieto osoba/y prijíma/</w:t>
      </w:r>
      <w:proofErr w:type="spellStart"/>
      <w:r w:rsidRPr="00002CA1">
        <w:rPr>
          <w:rFonts w:eastAsia="Calibri"/>
          <w:sz w:val="22"/>
          <w:szCs w:val="22"/>
          <w:lang w:eastAsia="en-US"/>
        </w:rPr>
        <w:t>jú</w:t>
      </w:r>
      <w:proofErr w:type="spellEnd"/>
      <w:r w:rsidRPr="00002CA1">
        <w:rPr>
          <w:rFonts w:eastAsia="Calibri"/>
          <w:sz w:val="22"/>
          <w:szCs w:val="22"/>
          <w:lang w:eastAsia="en-US"/>
        </w:rPr>
        <w:t xml:space="preserve"> úlohy v súvislosti s vytváraním manažérskych systémov od Dodávateľa a je/sú zodpovedná/é za priebežné a bezodkladné zrealizovanie alebo zabezpečenie zrealizovania týchto úloh.</w:t>
      </w:r>
    </w:p>
    <w:p w:rsidR="009B1312" w:rsidRPr="00002CA1" w:rsidRDefault="009B1312" w:rsidP="009B1312">
      <w:pPr>
        <w:spacing w:line="276" w:lineRule="auto"/>
        <w:jc w:val="both"/>
        <w:rPr>
          <w:rFonts w:eastAsia="Book Antiqua"/>
          <w:sz w:val="22"/>
          <w:szCs w:val="22"/>
          <w:lang w:eastAsia="en-US"/>
        </w:rPr>
      </w:pP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Calibri"/>
          <w:sz w:val="22"/>
          <w:szCs w:val="22"/>
          <w:lang w:eastAsia="en-US"/>
        </w:rPr>
        <w:t>Objednávateľ sa zaväzuje umožniť Dodávateľovi oboznámiť sa so všetkými činnosťami a skutočnosťami významnými pre vybudovanie manažérskych systémov a poskytnúť Dodávateľovi všetky podklady potrebné pre riešenie jednotlivých úloh.</w:t>
      </w:r>
    </w:p>
    <w:p w:rsidR="009B1312" w:rsidRPr="00002CA1" w:rsidRDefault="009B1312" w:rsidP="009B1312">
      <w:pPr>
        <w:spacing w:line="276" w:lineRule="auto"/>
        <w:jc w:val="both"/>
        <w:rPr>
          <w:rFonts w:eastAsia="Book Antiqua"/>
          <w:sz w:val="22"/>
          <w:szCs w:val="22"/>
          <w:lang w:eastAsia="en-US"/>
        </w:rPr>
      </w:pP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Calibri"/>
          <w:sz w:val="22"/>
          <w:szCs w:val="22"/>
          <w:lang w:eastAsia="en-US"/>
        </w:rPr>
        <w:t>Objednávateľ sa zaväzuje zaistiť aktívnu účasť vrcholového vedenia a vybraných zamestnancov Objednávateľa, zodpovedných za realizáciu činností súvisiacich s predmetom tejto Zmluvy.</w:t>
      </w:r>
    </w:p>
    <w:p w:rsidR="009B1312" w:rsidRPr="00002CA1" w:rsidRDefault="009B1312" w:rsidP="009B1312">
      <w:pPr>
        <w:spacing w:line="276" w:lineRule="auto"/>
        <w:jc w:val="both"/>
        <w:rPr>
          <w:rFonts w:eastAsia="Book Antiqua"/>
          <w:sz w:val="22"/>
          <w:szCs w:val="22"/>
          <w:lang w:eastAsia="en-US"/>
        </w:rPr>
      </w:pPr>
    </w:p>
    <w:p w:rsidR="009B1312" w:rsidRPr="004202E3" w:rsidRDefault="009B1312" w:rsidP="009B1312">
      <w:pPr>
        <w:numPr>
          <w:ilvl w:val="0"/>
          <w:numId w:val="3"/>
        </w:numPr>
        <w:spacing w:after="200" w:line="276" w:lineRule="auto"/>
        <w:ind w:left="567" w:hanging="567"/>
        <w:jc w:val="both"/>
        <w:rPr>
          <w:sz w:val="22"/>
          <w:szCs w:val="22"/>
          <w:lang w:eastAsia="cs-CZ"/>
        </w:rPr>
      </w:pPr>
      <w:r w:rsidRPr="00002CA1">
        <w:rPr>
          <w:sz w:val="22"/>
          <w:szCs w:val="22"/>
          <w:lang w:eastAsia="cs-CZ"/>
        </w:rPr>
        <w:t>Objednávateľ sa zaväzuje riadne a včas plniť všetky úlohy, ktoré budú výsledkom priebežných rokovaní Objednávateľa a Dodávateľa za účelom naplnenia predmetu tejto Zmluvy.</w:t>
      </w: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Calibri"/>
          <w:sz w:val="22"/>
          <w:szCs w:val="22"/>
          <w:lang w:eastAsia="en-US"/>
        </w:rPr>
        <w:t>Objednávateľ sa zaväzuje riadne a včas plniť záväzky vyplývajúce z ustanovení tejto Zmluvy a všetkých jej dodatkov.</w:t>
      </w:r>
    </w:p>
    <w:p w:rsidR="009B1312" w:rsidRPr="00002CA1" w:rsidRDefault="009B1312" w:rsidP="009B1312">
      <w:pPr>
        <w:spacing w:line="276" w:lineRule="auto"/>
        <w:jc w:val="both"/>
        <w:rPr>
          <w:rFonts w:eastAsia="Book Antiqua"/>
          <w:sz w:val="22"/>
          <w:szCs w:val="22"/>
          <w:lang w:eastAsia="en-US"/>
        </w:rPr>
      </w:pP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Calibri"/>
          <w:sz w:val="22"/>
          <w:szCs w:val="22"/>
          <w:lang w:eastAsia="en-US"/>
        </w:rPr>
        <w:t>Objednávateľ sa zaväzuje zabezpečiť bezpodmienečnú a aktívnu účasť určených zamestnancov/osôb na školeniach v dohodnutých termínoch.</w:t>
      </w:r>
    </w:p>
    <w:p w:rsidR="009B1312" w:rsidRPr="00002CA1" w:rsidRDefault="009B1312" w:rsidP="009B1312">
      <w:pPr>
        <w:spacing w:line="276" w:lineRule="auto"/>
        <w:jc w:val="both"/>
        <w:rPr>
          <w:rFonts w:eastAsia="Book Antiqua"/>
          <w:sz w:val="22"/>
          <w:szCs w:val="22"/>
          <w:lang w:eastAsia="en-US"/>
        </w:rPr>
      </w:pP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Calibri"/>
          <w:sz w:val="22"/>
          <w:szCs w:val="22"/>
          <w:lang w:eastAsia="en-US"/>
        </w:rPr>
        <w:t>Zmluvné strany sú povinné informovať druhú Zmluvnú stranu o všetkých skutočnostiach, ktoré sú alebo môžu byť dôležité pre riadne plnenie predmetu tejto Zmluvy.</w:t>
      </w:r>
    </w:p>
    <w:p w:rsidR="009B1312" w:rsidRPr="00002CA1" w:rsidRDefault="009B1312" w:rsidP="009B1312">
      <w:pPr>
        <w:spacing w:line="276" w:lineRule="auto"/>
        <w:jc w:val="both"/>
        <w:rPr>
          <w:rFonts w:eastAsia="Book Antiqua"/>
          <w:sz w:val="22"/>
          <w:szCs w:val="22"/>
          <w:lang w:eastAsia="en-US"/>
        </w:rPr>
      </w:pPr>
    </w:p>
    <w:p w:rsidR="009B1312" w:rsidRPr="00002CA1" w:rsidRDefault="009B1312" w:rsidP="009B1312">
      <w:pPr>
        <w:numPr>
          <w:ilvl w:val="0"/>
          <w:numId w:val="3"/>
        </w:numPr>
        <w:spacing w:after="200" w:line="276" w:lineRule="auto"/>
        <w:ind w:left="567" w:hanging="567"/>
        <w:contextualSpacing/>
        <w:jc w:val="both"/>
        <w:rPr>
          <w:rFonts w:eastAsia="Book Antiqua"/>
          <w:sz w:val="22"/>
          <w:szCs w:val="22"/>
          <w:lang w:eastAsia="en-US"/>
        </w:rPr>
      </w:pPr>
      <w:r w:rsidRPr="00002CA1">
        <w:rPr>
          <w:rFonts w:eastAsia="Book Antiqua"/>
          <w:sz w:val="22"/>
          <w:szCs w:val="22"/>
          <w:lang w:eastAsia="en-US"/>
        </w:rPr>
        <w:t>Kontaktnými osobami oprávnenými na komunikáciu týkajúcu sa predmetu tejto Zmluvy sú</w:t>
      </w:r>
    </w:p>
    <w:p w:rsidR="009B1312" w:rsidRPr="006A65B9" w:rsidRDefault="009B1312" w:rsidP="009B1312">
      <w:pPr>
        <w:spacing w:line="276" w:lineRule="auto"/>
        <w:ind w:firstLine="567"/>
        <w:jc w:val="both"/>
        <w:rPr>
          <w:rFonts w:eastAsia="Calibri"/>
          <w:sz w:val="22"/>
          <w:szCs w:val="22"/>
          <w:lang w:eastAsia="en-US"/>
        </w:rPr>
      </w:pPr>
      <w:r w:rsidRPr="00002CA1">
        <w:rPr>
          <w:rFonts w:eastAsia="Calibri"/>
          <w:sz w:val="22"/>
          <w:szCs w:val="22"/>
          <w:u w:val="single"/>
          <w:lang w:eastAsia="en-US"/>
        </w:rPr>
        <w:t>za Objednávateľa:</w:t>
      </w:r>
      <w:r>
        <w:rPr>
          <w:rFonts w:eastAsia="Calibri"/>
          <w:sz w:val="22"/>
          <w:szCs w:val="22"/>
          <w:lang w:eastAsia="en-US"/>
        </w:rPr>
        <w:t xml:space="preserve">  </w:t>
      </w:r>
      <w:r w:rsidRPr="006A65B9">
        <w:rPr>
          <w:rFonts w:eastAsia="Calibri"/>
          <w:color w:val="000000"/>
          <w:sz w:val="22"/>
          <w:szCs w:val="22"/>
          <w:lang w:eastAsia="en-US"/>
        </w:rPr>
        <w:t xml:space="preserve">Ing. Branislav </w:t>
      </w:r>
      <w:proofErr w:type="spellStart"/>
      <w:r w:rsidRPr="006A65B9">
        <w:rPr>
          <w:rFonts w:eastAsia="Calibri"/>
          <w:color w:val="000000"/>
          <w:sz w:val="22"/>
          <w:szCs w:val="22"/>
          <w:lang w:eastAsia="en-US"/>
        </w:rPr>
        <w:t>Chmel</w:t>
      </w:r>
      <w:proofErr w:type="spellEnd"/>
      <w:r w:rsidRPr="006A65B9">
        <w:rPr>
          <w:rFonts w:eastAsia="Calibri"/>
          <w:color w:val="000000"/>
          <w:sz w:val="22"/>
          <w:szCs w:val="22"/>
          <w:lang w:eastAsia="en-US"/>
        </w:rPr>
        <w:t>, prokurista</w:t>
      </w:r>
    </w:p>
    <w:p w:rsidR="009B1312" w:rsidRPr="006A65B9" w:rsidRDefault="009B1312" w:rsidP="009B1312">
      <w:pPr>
        <w:spacing w:line="276" w:lineRule="auto"/>
        <w:ind w:firstLine="567"/>
        <w:jc w:val="both"/>
        <w:rPr>
          <w:rFonts w:eastAsia="Calibri"/>
          <w:sz w:val="22"/>
          <w:szCs w:val="22"/>
          <w:u w:val="single"/>
          <w:lang w:eastAsia="en-US"/>
        </w:rPr>
      </w:pPr>
      <w:r w:rsidRPr="00002CA1">
        <w:rPr>
          <w:rFonts w:eastAsia="Calibri"/>
          <w:sz w:val="22"/>
          <w:szCs w:val="22"/>
          <w:u w:val="single"/>
          <w:lang w:eastAsia="en-US"/>
        </w:rPr>
        <w:t>za Dodávateľa:</w:t>
      </w:r>
      <w:r>
        <w:rPr>
          <w:rFonts w:eastAsia="Calibri"/>
          <w:sz w:val="22"/>
          <w:szCs w:val="22"/>
          <w:u w:val="single"/>
          <w:lang w:eastAsia="en-US"/>
        </w:rPr>
        <w:t xml:space="preserve">  </w:t>
      </w:r>
      <w:r w:rsidRPr="00002CA1">
        <w:rPr>
          <w:rFonts w:eastAsia="Calibri"/>
          <w:sz w:val="22"/>
          <w:szCs w:val="22"/>
          <w:lang w:eastAsia="en-US"/>
        </w:rPr>
        <w:t>.............................................</w:t>
      </w:r>
    </w:p>
    <w:p w:rsidR="009B1312" w:rsidRDefault="009B1312" w:rsidP="009B1312">
      <w:pPr>
        <w:spacing w:line="276" w:lineRule="auto"/>
        <w:ind w:left="567"/>
        <w:jc w:val="both"/>
        <w:rPr>
          <w:rFonts w:eastAsia="Calibri"/>
          <w:sz w:val="22"/>
          <w:szCs w:val="22"/>
          <w:lang w:eastAsia="en-US"/>
        </w:rPr>
      </w:pPr>
      <w:r w:rsidRPr="00002CA1">
        <w:rPr>
          <w:rFonts w:eastAsia="Calibri"/>
          <w:sz w:val="22"/>
          <w:szCs w:val="22"/>
          <w:lang w:eastAsia="en-US"/>
        </w:rPr>
        <w:t>Zmluvná strana môže zmeniť svoju kontaktnú osobu písomným oznámením doručeným druhej Zmluvnej strane.</w:t>
      </w:r>
    </w:p>
    <w:p w:rsidR="009B1312" w:rsidRDefault="009B1312" w:rsidP="009B1312">
      <w:pPr>
        <w:spacing w:line="276" w:lineRule="auto"/>
        <w:ind w:left="567"/>
        <w:jc w:val="both"/>
        <w:rPr>
          <w:rFonts w:eastAsia="Calibri"/>
          <w:sz w:val="22"/>
          <w:szCs w:val="22"/>
          <w:lang w:eastAsia="en-US"/>
        </w:rPr>
      </w:pPr>
    </w:p>
    <w:p w:rsidR="009B1312" w:rsidRPr="004202E3" w:rsidRDefault="009B1312" w:rsidP="009B1312">
      <w:pPr>
        <w:spacing w:line="276" w:lineRule="auto"/>
        <w:ind w:left="567" w:hanging="567"/>
        <w:jc w:val="both"/>
        <w:rPr>
          <w:rFonts w:eastAsia="Calibri"/>
          <w:sz w:val="22"/>
          <w:szCs w:val="22"/>
          <w:lang w:eastAsia="en-US"/>
        </w:rPr>
      </w:pPr>
      <w:r>
        <w:rPr>
          <w:rFonts w:eastAsia="Calibri"/>
          <w:sz w:val="22"/>
          <w:szCs w:val="22"/>
          <w:lang w:eastAsia="en-US"/>
        </w:rPr>
        <w:t>2.15</w:t>
      </w:r>
      <w:r>
        <w:rPr>
          <w:rFonts w:eastAsia="Calibri"/>
          <w:sz w:val="22"/>
          <w:szCs w:val="22"/>
          <w:lang w:eastAsia="en-US"/>
        </w:rPr>
        <w:tab/>
      </w:r>
      <w:r w:rsidRPr="00261DF9">
        <w:rPr>
          <w:sz w:val="22"/>
          <w:szCs w:val="22"/>
        </w:rPr>
        <w:t xml:space="preserve">Dodávateľ určuje nasledovných subdodávateľov, ktorých </w:t>
      </w:r>
      <w:r>
        <w:rPr>
          <w:sz w:val="22"/>
          <w:szCs w:val="22"/>
        </w:rPr>
        <w:t>bude využívať pri plnení tejto</w:t>
      </w:r>
      <w:r w:rsidRPr="00261DF9">
        <w:rPr>
          <w:sz w:val="22"/>
          <w:szCs w:val="22"/>
        </w:rPr>
        <w:t xml:space="preserve">  </w:t>
      </w:r>
      <w:r>
        <w:rPr>
          <w:sz w:val="22"/>
          <w:szCs w:val="22"/>
        </w:rPr>
        <w:t>zmluvy:</w:t>
      </w:r>
    </w:p>
    <w:p w:rsidR="009B1312" w:rsidRPr="004202E3" w:rsidRDefault="009B1312" w:rsidP="009B1312">
      <w:pPr>
        <w:pStyle w:val="Zkladntext"/>
        <w:spacing w:after="0"/>
        <w:ind w:firstLine="709"/>
        <w:rPr>
          <w:sz w:val="22"/>
          <w:szCs w:val="22"/>
        </w:rPr>
      </w:pPr>
      <w:r w:rsidRPr="004202E3">
        <w:rPr>
          <w:sz w:val="22"/>
          <w:szCs w:val="22"/>
        </w:rPr>
        <w:t>- Obchodné meno:</w:t>
      </w:r>
    </w:p>
    <w:p w:rsidR="009B1312" w:rsidRPr="004202E3" w:rsidRDefault="009B1312" w:rsidP="009B1312">
      <w:pPr>
        <w:pStyle w:val="Zkladntext"/>
        <w:spacing w:after="0"/>
        <w:ind w:firstLine="709"/>
        <w:rPr>
          <w:sz w:val="22"/>
          <w:szCs w:val="22"/>
        </w:rPr>
      </w:pPr>
      <w:r w:rsidRPr="004202E3">
        <w:rPr>
          <w:sz w:val="22"/>
          <w:szCs w:val="22"/>
        </w:rPr>
        <w:t>- Sídlo/ miesto podnikania:</w:t>
      </w:r>
    </w:p>
    <w:p w:rsidR="009B1312" w:rsidRPr="004202E3" w:rsidRDefault="009B1312" w:rsidP="009B1312">
      <w:pPr>
        <w:pStyle w:val="Zkladntext"/>
        <w:spacing w:after="0"/>
        <w:ind w:firstLine="709"/>
        <w:rPr>
          <w:sz w:val="22"/>
          <w:szCs w:val="22"/>
        </w:rPr>
      </w:pPr>
      <w:r w:rsidRPr="004202E3">
        <w:rPr>
          <w:sz w:val="22"/>
          <w:szCs w:val="22"/>
        </w:rPr>
        <w:t>- IČO:</w:t>
      </w:r>
    </w:p>
    <w:p w:rsidR="009B1312" w:rsidRDefault="009B1312" w:rsidP="009B1312">
      <w:pPr>
        <w:pStyle w:val="Zkladntext"/>
        <w:spacing w:after="0"/>
        <w:ind w:firstLine="709"/>
        <w:rPr>
          <w:sz w:val="22"/>
          <w:szCs w:val="22"/>
        </w:rPr>
      </w:pPr>
      <w:r w:rsidRPr="004202E3">
        <w:rPr>
          <w:sz w:val="22"/>
          <w:szCs w:val="22"/>
        </w:rPr>
        <w:lastRenderedPageBreak/>
        <w:t xml:space="preserve">- Osoba oprávnená konať za subdodávateľa v rozsahu meno, priezvisko, adresa pobytu a </w:t>
      </w:r>
      <w:r w:rsidRPr="004202E3">
        <w:rPr>
          <w:sz w:val="22"/>
          <w:szCs w:val="22"/>
        </w:rPr>
        <w:br/>
        <w:t xml:space="preserve">               dátum narodenia</w:t>
      </w:r>
      <w:r>
        <w:rPr>
          <w:sz w:val="22"/>
          <w:szCs w:val="22"/>
        </w:rPr>
        <w:t>:</w:t>
      </w:r>
    </w:p>
    <w:p w:rsidR="009B1312" w:rsidRDefault="009B1312" w:rsidP="009B1312">
      <w:pPr>
        <w:pStyle w:val="Zkladntext"/>
        <w:spacing w:after="0"/>
        <w:ind w:firstLine="709"/>
        <w:rPr>
          <w:sz w:val="22"/>
          <w:szCs w:val="22"/>
        </w:rPr>
      </w:pPr>
    </w:p>
    <w:p w:rsidR="009B1312" w:rsidRDefault="009B1312" w:rsidP="009B1312">
      <w:pPr>
        <w:pStyle w:val="Zkladntext"/>
        <w:numPr>
          <w:ilvl w:val="1"/>
          <w:numId w:val="1"/>
        </w:numPr>
        <w:spacing w:after="0" w:line="276" w:lineRule="auto"/>
        <w:ind w:left="567" w:hanging="567"/>
        <w:jc w:val="both"/>
        <w:rPr>
          <w:sz w:val="22"/>
          <w:szCs w:val="22"/>
        </w:rPr>
      </w:pPr>
      <w:r>
        <w:rPr>
          <w:sz w:val="22"/>
          <w:szCs w:val="22"/>
        </w:rPr>
        <w:t xml:space="preserve">Dodávateľ </w:t>
      </w:r>
      <w:r w:rsidRPr="00261DF9">
        <w:rPr>
          <w:sz w:val="22"/>
          <w:szCs w:val="22"/>
        </w:rPr>
        <w:t xml:space="preserve">zaviazaný z tejto </w:t>
      </w:r>
      <w:r>
        <w:rPr>
          <w:sz w:val="22"/>
          <w:szCs w:val="22"/>
        </w:rPr>
        <w:t>zmluvy</w:t>
      </w:r>
      <w:r w:rsidRPr="00261DF9">
        <w:rPr>
          <w:sz w:val="22"/>
          <w:szCs w:val="22"/>
        </w:rPr>
        <w:t xml:space="preserve"> je povinný počas jej platnosti oznamovať objednávateľovi akúkoľvek zmenu údajov v rozsahu uvedenom v bode 2.</w:t>
      </w:r>
      <w:r>
        <w:rPr>
          <w:sz w:val="22"/>
          <w:szCs w:val="22"/>
        </w:rPr>
        <w:t>1</w:t>
      </w:r>
      <w:r w:rsidRPr="00261DF9">
        <w:rPr>
          <w:sz w:val="22"/>
          <w:szCs w:val="22"/>
        </w:rPr>
        <w:t>5  o ktoromkoľvek subdodávateľovi uvedenom v bode 2.5. tohto článku dohody a to písomnou formou najneskôr do 15 dní odo dňa uskutočnenia zmeny.</w:t>
      </w:r>
      <w:r w:rsidRPr="00D77E0E">
        <w:rPr>
          <w:sz w:val="22"/>
          <w:szCs w:val="22"/>
        </w:rPr>
        <w:t xml:space="preserve"> </w:t>
      </w:r>
      <w:r w:rsidRPr="00675783">
        <w:rPr>
          <w:sz w:val="22"/>
          <w:szCs w:val="22"/>
        </w:rPr>
        <w:t xml:space="preserve">Zároveň je Dodávateľ povinný oznámiť objednávateľovi telefonické a emailové kontakty na zodpovedných pracovníkov najneskôr do 15 dní odo dňa podpisu </w:t>
      </w:r>
      <w:r>
        <w:rPr>
          <w:sz w:val="22"/>
          <w:szCs w:val="22"/>
        </w:rPr>
        <w:t>zmluvy</w:t>
      </w:r>
      <w:r w:rsidRPr="00675783">
        <w:rPr>
          <w:sz w:val="22"/>
          <w:szCs w:val="22"/>
        </w:rPr>
        <w:t xml:space="preserve"> a následne do 15 dní odo dňa uskutočnenia zmeny zodpovedných pracovníkov dodávateľa.</w:t>
      </w:r>
    </w:p>
    <w:p w:rsidR="009B1312" w:rsidRDefault="009B1312" w:rsidP="009B1312">
      <w:pPr>
        <w:pStyle w:val="Zkladntext"/>
        <w:spacing w:after="0" w:line="276" w:lineRule="auto"/>
        <w:ind w:left="567"/>
        <w:jc w:val="both"/>
        <w:rPr>
          <w:sz w:val="22"/>
          <w:szCs w:val="22"/>
        </w:rPr>
      </w:pPr>
    </w:p>
    <w:p w:rsidR="009B1312" w:rsidRPr="0097718C" w:rsidRDefault="009B1312" w:rsidP="009B1312">
      <w:pPr>
        <w:pStyle w:val="Zkladntext"/>
        <w:numPr>
          <w:ilvl w:val="1"/>
          <w:numId w:val="1"/>
        </w:numPr>
        <w:spacing w:after="0" w:line="276" w:lineRule="auto"/>
        <w:ind w:left="567" w:hanging="567"/>
        <w:jc w:val="both"/>
        <w:rPr>
          <w:sz w:val="22"/>
          <w:szCs w:val="22"/>
        </w:rPr>
      </w:pPr>
      <w:r w:rsidRPr="00261DF9">
        <w:rPr>
          <w:sz w:val="22"/>
          <w:szCs w:val="22"/>
        </w:rPr>
        <w:t>Zmena subdodávateľa uvedeného v bode 2.</w:t>
      </w:r>
      <w:r>
        <w:rPr>
          <w:sz w:val="22"/>
          <w:szCs w:val="22"/>
        </w:rPr>
        <w:t>15 tohto článku zmluvy</w:t>
      </w:r>
      <w:r w:rsidRPr="00261DF9">
        <w:rPr>
          <w:sz w:val="22"/>
          <w:szCs w:val="22"/>
        </w:rPr>
        <w:t xml:space="preserve"> za iného subdodávateľa </w:t>
      </w:r>
      <w:r w:rsidRPr="00261DF9">
        <w:rPr>
          <w:bCs/>
          <w:sz w:val="22"/>
          <w:szCs w:val="22"/>
        </w:rPr>
        <w:t>a/alebo doplnenie nového subdodávateľa, je možná len na základe písomného oznámenia o návrhu na zmenu subdodávateľa a následného schválenia zo strany objednávateľa. Dodávateľ je povinný uviesť vo svojom návrhu na zmenu subdodávateľa všetky údaje v zmysle bodu 2.</w:t>
      </w:r>
      <w:r>
        <w:rPr>
          <w:bCs/>
          <w:sz w:val="22"/>
          <w:szCs w:val="22"/>
        </w:rPr>
        <w:t>15</w:t>
      </w:r>
      <w:r w:rsidRPr="00261DF9">
        <w:rPr>
          <w:bCs/>
          <w:sz w:val="22"/>
          <w:szCs w:val="22"/>
        </w:rPr>
        <w:t xml:space="preserve">. tohto článku </w:t>
      </w:r>
      <w:r>
        <w:rPr>
          <w:bCs/>
          <w:sz w:val="22"/>
          <w:szCs w:val="22"/>
        </w:rPr>
        <w:t>zmluvy</w:t>
      </w:r>
      <w:r w:rsidRPr="00261DF9">
        <w:rPr>
          <w:bCs/>
          <w:sz w:val="22"/>
          <w:szCs w:val="22"/>
        </w:rPr>
        <w:t>. Nový subdodávateľ musí spĺňať všetky zákonné požiadavky a podmienky v zmysle platnej legi</w:t>
      </w:r>
      <w:r>
        <w:rPr>
          <w:bCs/>
          <w:sz w:val="22"/>
          <w:szCs w:val="22"/>
        </w:rPr>
        <w:t>slatívy a v súlade s článkom 2.1</w:t>
      </w:r>
      <w:r w:rsidRPr="00261DF9">
        <w:rPr>
          <w:bCs/>
          <w:sz w:val="22"/>
          <w:szCs w:val="22"/>
        </w:rPr>
        <w:t xml:space="preserve"> tejto </w:t>
      </w:r>
      <w:r>
        <w:rPr>
          <w:bCs/>
          <w:sz w:val="22"/>
          <w:szCs w:val="22"/>
        </w:rPr>
        <w:t>zmluvy</w:t>
      </w:r>
      <w:r w:rsidRPr="00261DF9">
        <w:rPr>
          <w:bCs/>
          <w:sz w:val="22"/>
          <w:szCs w:val="22"/>
        </w:rPr>
        <w:t>. Z dôvodu zabezpečenia plynulého plnenia predmetu tejto dohody je dodávateľ oprávnený využívať nového navrhnutého subdodávateľa už odo dňa oznámenia o návrhu na zmenu subdodávateľa objednávateľovi. V prípade neschválenia nového subdodávateľa zo strany objednávateľa je dodávateľ povinný ihneď po doručení neschválenia ukončiť s týmto subdodávateľom spoluprácu a neumožniť mu plniť túto dohodu a objednávky.</w:t>
      </w:r>
    </w:p>
    <w:p w:rsidR="009B1312" w:rsidRPr="00002CA1" w:rsidRDefault="009B1312" w:rsidP="009B1312">
      <w:pPr>
        <w:spacing w:line="276" w:lineRule="auto"/>
        <w:jc w:val="both"/>
        <w:rPr>
          <w:rFonts w:eastAsia="Calibri"/>
          <w:sz w:val="22"/>
          <w:szCs w:val="22"/>
          <w:lang w:eastAsia="en-US"/>
        </w:rPr>
      </w:pPr>
    </w:p>
    <w:p w:rsidR="009B1312" w:rsidRPr="00002CA1" w:rsidRDefault="009B1312" w:rsidP="009B1312">
      <w:pPr>
        <w:spacing w:line="276" w:lineRule="auto"/>
        <w:jc w:val="center"/>
        <w:rPr>
          <w:rFonts w:eastAsia="Book Antiqua"/>
          <w:b/>
          <w:sz w:val="22"/>
          <w:szCs w:val="22"/>
          <w:lang w:eastAsia="en-US"/>
        </w:rPr>
      </w:pPr>
      <w:r w:rsidRPr="00002CA1">
        <w:rPr>
          <w:rFonts w:eastAsia="Book Antiqua"/>
          <w:b/>
          <w:sz w:val="22"/>
          <w:szCs w:val="22"/>
          <w:lang w:eastAsia="en-US"/>
        </w:rPr>
        <w:t>Článok III.</w:t>
      </w:r>
    </w:p>
    <w:p w:rsidR="009B1312" w:rsidRPr="00002CA1" w:rsidRDefault="009B1312" w:rsidP="009B1312">
      <w:pPr>
        <w:spacing w:line="276" w:lineRule="auto"/>
        <w:jc w:val="center"/>
        <w:rPr>
          <w:rFonts w:eastAsia="Book Antiqua"/>
          <w:b/>
          <w:sz w:val="22"/>
          <w:szCs w:val="22"/>
          <w:lang w:eastAsia="en-US"/>
        </w:rPr>
      </w:pPr>
      <w:r w:rsidRPr="00002CA1">
        <w:rPr>
          <w:rFonts w:eastAsia="Book Antiqua"/>
          <w:b/>
          <w:sz w:val="22"/>
          <w:szCs w:val="22"/>
          <w:lang w:eastAsia="en-US"/>
        </w:rPr>
        <w:t>ODMENA A PLATOBNÉ PODMIENKY</w:t>
      </w:r>
    </w:p>
    <w:p w:rsidR="009B1312" w:rsidRPr="00002CA1" w:rsidRDefault="009B1312" w:rsidP="009B1312">
      <w:pPr>
        <w:spacing w:line="276" w:lineRule="auto"/>
        <w:jc w:val="both"/>
        <w:rPr>
          <w:rFonts w:eastAsia="Book Antiqua"/>
          <w:b/>
          <w:sz w:val="22"/>
          <w:szCs w:val="22"/>
          <w:lang w:eastAsia="en-US"/>
        </w:rPr>
      </w:pPr>
    </w:p>
    <w:p w:rsidR="009B1312" w:rsidRPr="00002CA1" w:rsidRDefault="009B1312" w:rsidP="009B1312">
      <w:pPr>
        <w:numPr>
          <w:ilvl w:val="0"/>
          <w:numId w:val="5"/>
        </w:numPr>
        <w:spacing w:after="200" w:line="276" w:lineRule="auto"/>
        <w:ind w:left="567" w:hanging="567"/>
        <w:contextualSpacing/>
        <w:jc w:val="both"/>
        <w:rPr>
          <w:rFonts w:eastAsia="Book Antiqua"/>
          <w:b/>
          <w:sz w:val="22"/>
          <w:szCs w:val="22"/>
          <w:lang w:eastAsia="en-US"/>
        </w:rPr>
      </w:pPr>
      <w:r w:rsidRPr="00002CA1">
        <w:rPr>
          <w:rFonts w:eastAsia="Book Antiqua"/>
          <w:sz w:val="22"/>
          <w:szCs w:val="22"/>
          <w:lang w:eastAsia="en-US"/>
        </w:rPr>
        <w:t>Zmluvné strany sa dohodli, že odmena Dodávateľa za predmet plnenia podľa tejto Zmluvy</w:t>
      </w:r>
      <w:r>
        <w:rPr>
          <w:rFonts w:eastAsia="Book Antiqua"/>
          <w:sz w:val="22"/>
          <w:szCs w:val="22"/>
          <w:lang w:eastAsia="en-US"/>
        </w:rPr>
        <w:t xml:space="preserve"> a na základe výsledku verejného obstarávania</w:t>
      </w:r>
      <w:r w:rsidRPr="00002CA1">
        <w:rPr>
          <w:rFonts w:eastAsia="Book Antiqua"/>
          <w:sz w:val="22"/>
          <w:szCs w:val="22"/>
          <w:lang w:eastAsia="en-US"/>
        </w:rPr>
        <w:t xml:space="preserve"> je stanovená nasledovne:</w:t>
      </w:r>
    </w:p>
    <w:p w:rsidR="009B1312" w:rsidRPr="00002CA1" w:rsidRDefault="009B1312" w:rsidP="009B1312">
      <w:pPr>
        <w:spacing w:line="276" w:lineRule="auto"/>
        <w:jc w:val="both"/>
        <w:rPr>
          <w:rFonts w:eastAsia="Book Antiqua"/>
          <w:sz w:val="22"/>
          <w:szCs w:val="22"/>
          <w:lang w:eastAsia="en-US"/>
        </w:rPr>
      </w:pPr>
    </w:p>
    <w:tbl>
      <w:tblPr>
        <w:tblW w:w="8459"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79"/>
        <w:gridCol w:w="1918"/>
        <w:gridCol w:w="1762"/>
      </w:tblGrid>
      <w:tr w:rsidR="009B1312" w:rsidRPr="00002CA1" w:rsidTr="006F0A3B">
        <w:trPr>
          <w:trHeight w:val="159"/>
        </w:trPr>
        <w:tc>
          <w:tcPr>
            <w:tcW w:w="4779" w:type="dxa"/>
            <w:shd w:val="clear" w:color="auto" w:fill="D9D9D9"/>
            <w:noWrap/>
            <w:vAlign w:val="bottom"/>
          </w:tcPr>
          <w:p w:rsidR="009B1312" w:rsidRPr="00002CA1" w:rsidRDefault="009B1312" w:rsidP="006F0A3B">
            <w:pPr>
              <w:spacing w:line="276" w:lineRule="auto"/>
              <w:jc w:val="center"/>
              <w:rPr>
                <w:rFonts w:eastAsia="Calibri"/>
                <w:b/>
                <w:bCs/>
                <w:sz w:val="22"/>
                <w:szCs w:val="22"/>
              </w:rPr>
            </w:pPr>
            <w:r w:rsidRPr="00002CA1">
              <w:rPr>
                <w:rFonts w:eastAsia="Calibri"/>
                <w:b/>
                <w:bCs/>
                <w:sz w:val="22"/>
                <w:szCs w:val="22"/>
              </w:rPr>
              <w:t>Predmet plnenia</w:t>
            </w:r>
          </w:p>
        </w:tc>
        <w:tc>
          <w:tcPr>
            <w:tcW w:w="1918" w:type="dxa"/>
            <w:shd w:val="clear" w:color="auto" w:fill="D9D9D9"/>
          </w:tcPr>
          <w:p w:rsidR="009B1312" w:rsidRPr="00002CA1" w:rsidRDefault="009B1312" w:rsidP="006F0A3B">
            <w:pPr>
              <w:spacing w:line="276" w:lineRule="auto"/>
              <w:jc w:val="center"/>
              <w:rPr>
                <w:rFonts w:eastAsia="Calibri"/>
                <w:b/>
                <w:bCs/>
                <w:sz w:val="22"/>
                <w:szCs w:val="22"/>
              </w:rPr>
            </w:pPr>
            <w:r>
              <w:rPr>
                <w:rFonts w:eastAsia="Calibri"/>
                <w:b/>
                <w:bCs/>
                <w:sz w:val="22"/>
                <w:szCs w:val="22"/>
              </w:rPr>
              <w:t>T</w:t>
            </w:r>
            <w:r w:rsidRPr="00002CA1">
              <w:rPr>
                <w:rFonts w:eastAsia="Calibri"/>
                <w:b/>
                <w:bCs/>
                <w:sz w:val="22"/>
                <w:szCs w:val="22"/>
              </w:rPr>
              <w:t>ermín</w:t>
            </w:r>
          </w:p>
        </w:tc>
        <w:tc>
          <w:tcPr>
            <w:tcW w:w="1762" w:type="dxa"/>
            <w:shd w:val="clear" w:color="auto" w:fill="D9D9D9"/>
            <w:noWrap/>
            <w:vAlign w:val="center"/>
          </w:tcPr>
          <w:p w:rsidR="009B1312" w:rsidRPr="00002CA1" w:rsidRDefault="009B1312" w:rsidP="006F0A3B">
            <w:pPr>
              <w:spacing w:line="276" w:lineRule="auto"/>
              <w:jc w:val="center"/>
              <w:rPr>
                <w:rFonts w:eastAsia="Calibri"/>
                <w:b/>
                <w:bCs/>
                <w:sz w:val="22"/>
                <w:szCs w:val="22"/>
              </w:rPr>
            </w:pPr>
            <w:r w:rsidRPr="00002CA1">
              <w:rPr>
                <w:rFonts w:eastAsia="Calibri"/>
                <w:b/>
                <w:bCs/>
                <w:sz w:val="22"/>
                <w:szCs w:val="22"/>
              </w:rPr>
              <w:t>Odmena bez DPH</w:t>
            </w:r>
          </w:p>
        </w:tc>
      </w:tr>
      <w:tr w:rsidR="009B1312" w:rsidRPr="00002CA1" w:rsidTr="006F0A3B">
        <w:trPr>
          <w:trHeight w:val="1204"/>
        </w:trPr>
        <w:tc>
          <w:tcPr>
            <w:tcW w:w="4779" w:type="dxa"/>
            <w:shd w:val="clear" w:color="auto" w:fill="auto"/>
            <w:noWrap/>
            <w:vAlign w:val="center"/>
          </w:tcPr>
          <w:p w:rsidR="009B1312" w:rsidRPr="00002CA1" w:rsidRDefault="009B1312" w:rsidP="009B1312">
            <w:pPr>
              <w:numPr>
                <w:ilvl w:val="0"/>
                <w:numId w:val="9"/>
              </w:numPr>
              <w:spacing w:after="200" w:line="276" w:lineRule="auto"/>
              <w:ind w:left="318" w:hanging="318"/>
              <w:contextualSpacing/>
              <w:rPr>
                <w:rFonts w:eastAsia="Calibri"/>
                <w:b/>
                <w:bCs/>
                <w:sz w:val="22"/>
                <w:szCs w:val="22"/>
                <w:lang w:eastAsia="en-US"/>
              </w:rPr>
            </w:pPr>
            <w:r w:rsidRPr="00002CA1">
              <w:rPr>
                <w:rFonts w:eastAsia="Calibri"/>
                <w:b/>
                <w:bCs/>
                <w:sz w:val="22"/>
                <w:szCs w:val="22"/>
                <w:lang w:eastAsia="en-US"/>
              </w:rPr>
              <w:t xml:space="preserve">etapa </w:t>
            </w:r>
          </w:p>
          <w:p w:rsidR="009B1312" w:rsidRPr="00002CA1" w:rsidRDefault="009B1312" w:rsidP="006F0A3B">
            <w:pPr>
              <w:spacing w:after="200" w:line="276" w:lineRule="auto"/>
              <w:rPr>
                <w:rFonts w:eastAsia="Calibri"/>
                <w:b/>
                <w:bCs/>
                <w:sz w:val="22"/>
                <w:szCs w:val="22"/>
                <w:lang w:eastAsia="en-US"/>
              </w:rPr>
            </w:pPr>
            <w:r w:rsidRPr="00002CA1">
              <w:rPr>
                <w:rFonts w:eastAsia="Calibri"/>
                <w:b/>
                <w:bCs/>
                <w:sz w:val="22"/>
                <w:szCs w:val="22"/>
                <w:lang w:eastAsia="en-US"/>
              </w:rPr>
              <w:t>Analýza údajov</w:t>
            </w:r>
          </w:p>
          <w:p w:rsidR="009B1312" w:rsidRPr="00002CA1" w:rsidRDefault="009B1312" w:rsidP="006F0A3B">
            <w:pPr>
              <w:spacing w:line="276" w:lineRule="auto"/>
              <w:rPr>
                <w:rFonts w:eastAsia="Calibri"/>
                <w:sz w:val="22"/>
                <w:szCs w:val="22"/>
                <w:lang w:eastAsia="en-US"/>
              </w:rPr>
            </w:pPr>
            <w:r w:rsidRPr="00002CA1">
              <w:rPr>
                <w:rFonts w:eastAsia="Calibri"/>
                <w:sz w:val="22"/>
                <w:szCs w:val="22"/>
                <w:lang w:eastAsia="en-US"/>
              </w:rPr>
              <w:t>Vstupná analýza vo vzťahu k požiadavkám implementovaných noriem</w:t>
            </w:r>
          </w:p>
        </w:tc>
        <w:tc>
          <w:tcPr>
            <w:tcW w:w="1918" w:type="dxa"/>
          </w:tcPr>
          <w:p w:rsidR="009B1312" w:rsidRPr="00002CA1" w:rsidRDefault="009B1312" w:rsidP="006F0A3B">
            <w:pPr>
              <w:spacing w:line="276" w:lineRule="auto"/>
              <w:jc w:val="center"/>
              <w:rPr>
                <w:rFonts w:eastAsia="Calibri"/>
                <w:sz w:val="22"/>
                <w:szCs w:val="22"/>
              </w:rPr>
            </w:pPr>
            <w:r w:rsidRPr="00002CA1">
              <w:rPr>
                <w:rFonts w:eastAsia="Calibri"/>
                <w:sz w:val="22"/>
                <w:szCs w:val="22"/>
              </w:rPr>
              <w:t>Do 30.06.2019</w:t>
            </w:r>
          </w:p>
        </w:tc>
        <w:tc>
          <w:tcPr>
            <w:tcW w:w="1762" w:type="dxa"/>
            <w:shd w:val="clear" w:color="auto" w:fill="auto"/>
            <w:noWrap/>
            <w:vAlign w:val="center"/>
          </w:tcPr>
          <w:p w:rsidR="009B1312" w:rsidRPr="00002CA1" w:rsidRDefault="009B1312" w:rsidP="006F0A3B">
            <w:pPr>
              <w:spacing w:line="276" w:lineRule="auto"/>
              <w:jc w:val="center"/>
              <w:rPr>
                <w:rFonts w:eastAsia="Calibri"/>
                <w:color w:val="FF0000"/>
                <w:sz w:val="22"/>
                <w:szCs w:val="22"/>
              </w:rPr>
            </w:pPr>
          </w:p>
        </w:tc>
      </w:tr>
      <w:tr w:rsidR="009B1312" w:rsidRPr="00002CA1" w:rsidTr="006F0A3B">
        <w:trPr>
          <w:trHeight w:val="200"/>
        </w:trPr>
        <w:tc>
          <w:tcPr>
            <w:tcW w:w="4779" w:type="dxa"/>
            <w:shd w:val="clear" w:color="auto" w:fill="auto"/>
            <w:noWrap/>
            <w:vAlign w:val="center"/>
          </w:tcPr>
          <w:p w:rsidR="009B1312" w:rsidRPr="00002CA1" w:rsidRDefault="009B1312" w:rsidP="009B1312">
            <w:pPr>
              <w:numPr>
                <w:ilvl w:val="0"/>
                <w:numId w:val="9"/>
              </w:numPr>
              <w:spacing w:after="200" w:line="276" w:lineRule="auto"/>
              <w:ind w:left="318" w:hanging="284"/>
              <w:contextualSpacing/>
              <w:rPr>
                <w:rFonts w:eastAsia="Calibri"/>
                <w:b/>
                <w:bCs/>
                <w:sz w:val="22"/>
                <w:szCs w:val="22"/>
                <w:lang w:eastAsia="en-US"/>
              </w:rPr>
            </w:pPr>
            <w:r w:rsidRPr="00002CA1">
              <w:rPr>
                <w:rFonts w:eastAsia="Calibri"/>
                <w:b/>
                <w:bCs/>
                <w:sz w:val="22"/>
                <w:szCs w:val="22"/>
                <w:lang w:eastAsia="en-US"/>
              </w:rPr>
              <w:t xml:space="preserve">etapa rok </w:t>
            </w:r>
          </w:p>
          <w:p w:rsidR="009B1312" w:rsidRPr="00002CA1" w:rsidRDefault="009B1312" w:rsidP="006F0A3B">
            <w:pPr>
              <w:spacing w:after="200" w:line="276" w:lineRule="auto"/>
              <w:rPr>
                <w:rFonts w:eastAsia="Calibri"/>
                <w:b/>
                <w:bCs/>
                <w:sz w:val="22"/>
                <w:szCs w:val="22"/>
                <w:lang w:eastAsia="en-US"/>
              </w:rPr>
            </w:pPr>
            <w:r w:rsidRPr="00002CA1">
              <w:rPr>
                <w:rFonts w:eastAsia="Calibri"/>
                <w:b/>
                <w:bCs/>
                <w:sz w:val="22"/>
                <w:szCs w:val="22"/>
                <w:lang w:eastAsia="en-US"/>
              </w:rPr>
              <w:t>Realizácia</w:t>
            </w:r>
          </w:p>
          <w:p w:rsidR="009B1312" w:rsidRDefault="009B1312" w:rsidP="006F0A3B">
            <w:pPr>
              <w:spacing w:after="200" w:line="276" w:lineRule="auto"/>
              <w:rPr>
                <w:rFonts w:eastAsia="Calibri"/>
                <w:color w:val="000000"/>
                <w:sz w:val="22"/>
                <w:szCs w:val="22"/>
              </w:rPr>
            </w:pPr>
            <w:r w:rsidRPr="00002CA1">
              <w:rPr>
                <w:rFonts w:eastAsia="Calibri"/>
                <w:color w:val="000000"/>
                <w:sz w:val="22"/>
                <w:szCs w:val="22"/>
              </w:rPr>
              <w:t>Implementácia požiadaviek.</w:t>
            </w:r>
          </w:p>
          <w:p w:rsidR="009B1312" w:rsidRPr="00002CA1" w:rsidRDefault="009B1312" w:rsidP="006F0A3B">
            <w:pPr>
              <w:spacing w:after="200" w:line="276" w:lineRule="auto"/>
              <w:rPr>
                <w:rFonts w:eastAsia="Calibri"/>
                <w:color w:val="000000"/>
                <w:sz w:val="22"/>
                <w:szCs w:val="22"/>
              </w:rPr>
            </w:pPr>
            <w:r w:rsidRPr="00002CA1">
              <w:rPr>
                <w:rFonts w:eastAsia="Calibri"/>
                <w:color w:val="000000"/>
                <w:sz w:val="22"/>
                <w:szCs w:val="22"/>
              </w:rPr>
              <w:t>Vypracovanie poriadkov a smerníc spoločnosti</w:t>
            </w:r>
          </w:p>
          <w:p w:rsidR="009B1312" w:rsidRPr="0097718C" w:rsidRDefault="009B1312" w:rsidP="009B1312">
            <w:pPr>
              <w:numPr>
                <w:ilvl w:val="0"/>
                <w:numId w:val="10"/>
              </w:numPr>
              <w:spacing w:after="200"/>
              <w:jc w:val="both"/>
              <w:rPr>
                <w:rFonts w:eastAsia="Calibri"/>
                <w:b/>
                <w:bCs/>
                <w:sz w:val="22"/>
                <w:szCs w:val="22"/>
                <w:lang w:eastAsia="en-US"/>
              </w:rPr>
            </w:pPr>
            <w:r w:rsidRPr="0097718C">
              <w:rPr>
                <w:rFonts w:eastAsia="Calibri"/>
                <w:sz w:val="22"/>
                <w:szCs w:val="22"/>
                <w:lang w:eastAsia="en-US"/>
              </w:rPr>
              <w:t>systému manažérstva kvality podľa požiadaviek normy ISO 9001:2015,</w:t>
            </w:r>
          </w:p>
          <w:p w:rsidR="009B1312" w:rsidRPr="0097718C" w:rsidRDefault="009B1312" w:rsidP="009B1312">
            <w:pPr>
              <w:numPr>
                <w:ilvl w:val="0"/>
                <w:numId w:val="10"/>
              </w:numPr>
              <w:spacing w:after="200"/>
              <w:jc w:val="both"/>
              <w:rPr>
                <w:rFonts w:eastAsia="Calibri"/>
                <w:sz w:val="22"/>
                <w:szCs w:val="22"/>
                <w:lang w:eastAsia="en-US"/>
              </w:rPr>
            </w:pPr>
            <w:r w:rsidRPr="0097718C">
              <w:rPr>
                <w:rFonts w:eastAsia="Calibri"/>
                <w:sz w:val="22"/>
                <w:szCs w:val="22"/>
                <w:lang w:eastAsia="en-US"/>
              </w:rPr>
              <w:t>systému environmentálneho manažérstva podľa požiadaviek ISO 14001:2015,</w:t>
            </w:r>
          </w:p>
          <w:p w:rsidR="009B1312" w:rsidRPr="0097718C" w:rsidRDefault="009B1312" w:rsidP="009B1312">
            <w:pPr>
              <w:numPr>
                <w:ilvl w:val="0"/>
                <w:numId w:val="10"/>
              </w:numPr>
              <w:spacing w:after="200"/>
              <w:jc w:val="both"/>
              <w:rPr>
                <w:rFonts w:eastAsia="Calibri"/>
                <w:sz w:val="22"/>
                <w:szCs w:val="22"/>
                <w:lang w:eastAsia="en-US"/>
              </w:rPr>
            </w:pPr>
            <w:r w:rsidRPr="0097718C">
              <w:rPr>
                <w:rFonts w:eastAsia="Calibri"/>
                <w:sz w:val="22"/>
                <w:szCs w:val="22"/>
                <w:lang w:eastAsia="en-US"/>
              </w:rPr>
              <w:lastRenderedPageBreak/>
              <w:t>systému manažérstva bezpečnosti a ochrany zdravia pri práci podľa požiadaviek ISO 45001:2018,</w:t>
            </w:r>
          </w:p>
          <w:p w:rsidR="009B1312" w:rsidRPr="0097718C" w:rsidRDefault="009B1312" w:rsidP="009B1312">
            <w:pPr>
              <w:numPr>
                <w:ilvl w:val="0"/>
                <w:numId w:val="10"/>
              </w:numPr>
              <w:spacing w:after="200"/>
              <w:jc w:val="both"/>
              <w:rPr>
                <w:rFonts w:eastAsia="Calibri"/>
                <w:sz w:val="22"/>
                <w:szCs w:val="22"/>
                <w:lang w:eastAsia="en-US"/>
              </w:rPr>
            </w:pPr>
            <w:r w:rsidRPr="0097718C">
              <w:rPr>
                <w:rFonts w:eastAsia="Calibri"/>
                <w:sz w:val="22"/>
                <w:szCs w:val="22"/>
                <w:lang w:eastAsia="en-US"/>
              </w:rPr>
              <w:t>systému energetického manažérstva podľa požiadaviek ISO 50001:2011,</w:t>
            </w:r>
          </w:p>
          <w:p w:rsidR="009B1312" w:rsidRPr="0097718C" w:rsidRDefault="009B1312" w:rsidP="009B1312">
            <w:pPr>
              <w:numPr>
                <w:ilvl w:val="0"/>
                <w:numId w:val="10"/>
              </w:numPr>
              <w:spacing w:after="200"/>
              <w:jc w:val="both"/>
              <w:rPr>
                <w:rFonts w:eastAsia="Calibri"/>
                <w:sz w:val="22"/>
                <w:szCs w:val="22"/>
                <w:lang w:eastAsia="en-US"/>
              </w:rPr>
            </w:pPr>
            <w:r w:rsidRPr="0097718C">
              <w:rPr>
                <w:rFonts w:eastAsia="Calibri"/>
                <w:sz w:val="22"/>
                <w:szCs w:val="22"/>
                <w:lang w:eastAsia="en-US"/>
              </w:rPr>
              <w:t>systému manažérstva bezpečnosti informácií podľa ISO/ICE  27001:2014</w:t>
            </w:r>
          </w:p>
          <w:p w:rsidR="009B1312" w:rsidRPr="0097718C" w:rsidRDefault="009B1312" w:rsidP="009B1312">
            <w:pPr>
              <w:numPr>
                <w:ilvl w:val="0"/>
                <w:numId w:val="10"/>
              </w:numPr>
              <w:spacing w:after="200"/>
              <w:jc w:val="both"/>
              <w:rPr>
                <w:rFonts w:eastAsia="Calibri"/>
                <w:sz w:val="22"/>
                <w:szCs w:val="22"/>
                <w:lang w:eastAsia="en-US"/>
              </w:rPr>
            </w:pPr>
            <w:r w:rsidRPr="0097718C">
              <w:rPr>
                <w:rFonts w:eastAsia="Calibri"/>
                <w:sz w:val="22"/>
                <w:szCs w:val="22"/>
                <w:shd w:val="clear" w:color="auto" w:fill="FFFFFF"/>
                <w:lang w:eastAsia="en-US"/>
              </w:rPr>
              <w:t>Všeobecné požiadavky na kompetentnosť skúšobných a kalibračných laboratórií podľa ISO/ICE 17025:2017</w:t>
            </w:r>
          </w:p>
          <w:p w:rsidR="009B1312" w:rsidRPr="0097718C" w:rsidRDefault="009B1312" w:rsidP="009B1312">
            <w:pPr>
              <w:numPr>
                <w:ilvl w:val="0"/>
                <w:numId w:val="10"/>
              </w:numPr>
              <w:spacing w:after="200"/>
              <w:jc w:val="both"/>
              <w:rPr>
                <w:rFonts w:eastAsia="Calibri"/>
                <w:sz w:val="22"/>
                <w:szCs w:val="22"/>
                <w:lang w:eastAsia="en-US"/>
              </w:rPr>
            </w:pPr>
            <w:r w:rsidRPr="0097718C">
              <w:rPr>
                <w:rFonts w:eastAsia="Calibri"/>
                <w:sz w:val="22"/>
                <w:szCs w:val="22"/>
                <w:lang w:eastAsia="en-US"/>
              </w:rPr>
              <w:t>implementácie požiadaviek GDPR a zákona o ochrane osobných údajov (č. 18/2018 Z. z.)</w:t>
            </w:r>
          </w:p>
          <w:p w:rsidR="009B1312" w:rsidRPr="002B7388" w:rsidRDefault="009B1312" w:rsidP="009B1312">
            <w:pPr>
              <w:numPr>
                <w:ilvl w:val="0"/>
                <w:numId w:val="10"/>
              </w:numPr>
              <w:spacing w:after="200"/>
              <w:jc w:val="both"/>
              <w:rPr>
                <w:rFonts w:eastAsia="Calibri"/>
                <w:color w:val="000000"/>
                <w:sz w:val="22"/>
                <w:szCs w:val="22"/>
              </w:rPr>
            </w:pPr>
            <w:proofErr w:type="spellStart"/>
            <w:r w:rsidRPr="0097718C">
              <w:rPr>
                <w:rFonts w:eastAsia="Calibri"/>
                <w:sz w:val="22"/>
                <w:szCs w:val="22"/>
                <w:lang w:val="en-US" w:eastAsia="en-US"/>
              </w:rPr>
              <w:t>Plnenie</w:t>
            </w:r>
            <w:proofErr w:type="spellEnd"/>
            <w:r w:rsidRPr="0097718C">
              <w:rPr>
                <w:rFonts w:eastAsia="Calibri"/>
                <w:sz w:val="22"/>
                <w:szCs w:val="22"/>
                <w:lang w:val="en-US" w:eastAsia="en-US"/>
              </w:rPr>
              <w:t xml:space="preserve"> </w:t>
            </w:r>
            <w:proofErr w:type="spellStart"/>
            <w:r w:rsidRPr="0097718C">
              <w:rPr>
                <w:rFonts w:eastAsia="Calibri"/>
                <w:sz w:val="22"/>
                <w:szCs w:val="22"/>
                <w:lang w:val="en-US" w:eastAsia="en-US"/>
              </w:rPr>
              <w:t>požiadaviek</w:t>
            </w:r>
            <w:proofErr w:type="spellEnd"/>
            <w:r w:rsidRPr="0097718C">
              <w:rPr>
                <w:rFonts w:eastAsia="Calibri"/>
                <w:sz w:val="22"/>
                <w:szCs w:val="22"/>
                <w:lang w:val="en-US" w:eastAsia="en-US"/>
              </w:rPr>
              <w:t xml:space="preserve"> pre </w:t>
            </w:r>
            <w:proofErr w:type="spellStart"/>
            <w:r w:rsidRPr="0097718C">
              <w:rPr>
                <w:rFonts w:eastAsia="Calibri"/>
                <w:sz w:val="22"/>
                <w:szCs w:val="22"/>
                <w:lang w:val="en-US" w:eastAsia="en-US"/>
              </w:rPr>
              <w:t>certifikáciu</w:t>
            </w:r>
            <w:proofErr w:type="spellEnd"/>
            <w:r w:rsidRPr="0097718C">
              <w:rPr>
                <w:rFonts w:eastAsia="Calibri"/>
                <w:sz w:val="22"/>
                <w:szCs w:val="22"/>
                <w:lang w:val="en-US" w:eastAsia="en-US"/>
              </w:rPr>
              <w:t xml:space="preserve"> TISAX - Trusted Information Security Assessment Exchange</w:t>
            </w:r>
          </w:p>
        </w:tc>
        <w:tc>
          <w:tcPr>
            <w:tcW w:w="1918" w:type="dxa"/>
          </w:tcPr>
          <w:p w:rsidR="009B1312" w:rsidRPr="00002CA1" w:rsidRDefault="009B1312" w:rsidP="006F0A3B">
            <w:pPr>
              <w:spacing w:line="276" w:lineRule="auto"/>
              <w:jc w:val="center"/>
              <w:rPr>
                <w:rFonts w:eastAsia="Calibri"/>
                <w:sz w:val="22"/>
                <w:szCs w:val="22"/>
              </w:rPr>
            </w:pPr>
            <w:r w:rsidRPr="00002CA1">
              <w:rPr>
                <w:rFonts w:eastAsia="Calibri"/>
                <w:sz w:val="22"/>
                <w:szCs w:val="22"/>
              </w:rPr>
              <w:lastRenderedPageBreak/>
              <w:t>Do 31.12.2019</w:t>
            </w:r>
          </w:p>
        </w:tc>
        <w:tc>
          <w:tcPr>
            <w:tcW w:w="1762" w:type="dxa"/>
            <w:shd w:val="clear" w:color="auto" w:fill="auto"/>
            <w:noWrap/>
            <w:vAlign w:val="center"/>
          </w:tcPr>
          <w:p w:rsidR="009B1312" w:rsidRPr="00002CA1" w:rsidRDefault="009B1312" w:rsidP="006F0A3B">
            <w:pPr>
              <w:spacing w:line="276" w:lineRule="auto"/>
              <w:jc w:val="center"/>
              <w:rPr>
                <w:rFonts w:eastAsia="Calibri"/>
                <w:color w:val="FF0000"/>
                <w:sz w:val="22"/>
                <w:szCs w:val="22"/>
              </w:rPr>
            </w:pPr>
          </w:p>
        </w:tc>
      </w:tr>
      <w:tr w:rsidR="009B1312" w:rsidRPr="00002CA1" w:rsidTr="006F0A3B">
        <w:trPr>
          <w:trHeight w:val="200"/>
        </w:trPr>
        <w:tc>
          <w:tcPr>
            <w:tcW w:w="4779" w:type="dxa"/>
            <w:shd w:val="clear" w:color="auto" w:fill="auto"/>
            <w:noWrap/>
          </w:tcPr>
          <w:p w:rsidR="009B1312" w:rsidRPr="00002CA1" w:rsidRDefault="009B1312" w:rsidP="009B1312">
            <w:pPr>
              <w:numPr>
                <w:ilvl w:val="0"/>
                <w:numId w:val="9"/>
              </w:numPr>
              <w:spacing w:after="200" w:line="276" w:lineRule="auto"/>
              <w:ind w:left="390"/>
              <w:rPr>
                <w:rFonts w:eastAsia="Calibri"/>
                <w:b/>
                <w:bCs/>
                <w:sz w:val="22"/>
                <w:szCs w:val="22"/>
                <w:lang w:eastAsia="en-US"/>
              </w:rPr>
            </w:pPr>
            <w:r w:rsidRPr="00002CA1">
              <w:rPr>
                <w:rFonts w:eastAsia="Calibri"/>
                <w:b/>
                <w:bCs/>
                <w:sz w:val="22"/>
                <w:szCs w:val="22"/>
                <w:lang w:eastAsia="en-US"/>
              </w:rPr>
              <w:t>Etapa udržiavanie systému riadenia    </w:t>
            </w:r>
          </w:p>
          <w:p w:rsidR="009B1312" w:rsidRDefault="009B1312" w:rsidP="006F0A3B">
            <w:pPr>
              <w:spacing w:after="200" w:line="276" w:lineRule="auto"/>
              <w:rPr>
                <w:rFonts w:eastAsia="Calibri"/>
                <w:sz w:val="22"/>
                <w:szCs w:val="22"/>
              </w:rPr>
            </w:pPr>
            <w:r w:rsidRPr="00002CA1">
              <w:rPr>
                <w:rFonts w:eastAsia="Calibri"/>
                <w:sz w:val="22"/>
                <w:szCs w:val="22"/>
              </w:rPr>
              <w:t>Aktualizácia  poriadkov a smerníc spoločnosti</w:t>
            </w:r>
          </w:p>
          <w:p w:rsidR="009B1312" w:rsidRPr="00002CA1" w:rsidRDefault="009B1312" w:rsidP="006F0A3B">
            <w:pPr>
              <w:spacing w:after="200" w:line="276" w:lineRule="auto"/>
              <w:rPr>
                <w:rFonts w:eastAsia="Calibri"/>
                <w:sz w:val="22"/>
                <w:szCs w:val="22"/>
              </w:rPr>
            </w:pPr>
            <w:r w:rsidRPr="00002CA1">
              <w:rPr>
                <w:rFonts w:eastAsia="Calibri"/>
                <w:sz w:val="22"/>
                <w:szCs w:val="22"/>
              </w:rPr>
              <w:t>Vykonanie interného auditu</w:t>
            </w:r>
          </w:p>
          <w:p w:rsidR="009B1312" w:rsidRPr="0097718C" w:rsidRDefault="009B1312" w:rsidP="006F0A3B">
            <w:pPr>
              <w:spacing w:after="200" w:line="276" w:lineRule="auto"/>
              <w:rPr>
                <w:rFonts w:eastAsia="Calibri"/>
                <w:sz w:val="22"/>
                <w:szCs w:val="22"/>
              </w:rPr>
            </w:pPr>
            <w:r w:rsidRPr="00002CA1">
              <w:rPr>
                <w:rFonts w:eastAsia="Calibri"/>
                <w:sz w:val="22"/>
                <w:szCs w:val="22"/>
              </w:rPr>
              <w:t>Príprava podkladov pre dozorné  orgány</w:t>
            </w:r>
          </w:p>
        </w:tc>
        <w:tc>
          <w:tcPr>
            <w:tcW w:w="1918" w:type="dxa"/>
          </w:tcPr>
          <w:p w:rsidR="009B1312" w:rsidRPr="00002CA1" w:rsidRDefault="009B1312" w:rsidP="006F0A3B">
            <w:pPr>
              <w:spacing w:line="276" w:lineRule="auto"/>
              <w:jc w:val="center"/>
              <w:rPr>
                <w:rFonts w:eastAsia="Calibri"/>
                <w:b/>
                <w:sz w:val="22"/>
                <w:szCs w:val="22"/>
              </w:rPr>
            </w:pPr>
            <w:r w:rsidRPr="00002CA1">
              <w:rPr>
                <w:rFonts w:eastAsia="Calibri"/>
                <w:b/>
                <w:sz w:val="22"/>
                <w:szCs w:val="22"/>
              </w:rPr>
              <w:t>Do 31.12.2021</w:t>
            </w:r>
          </w:p>
        </w:tc>
        <w:tc>
          <w:tcPr>
            <w:tcW w:w="1762" w:type="dxa"/>
            <w:shd w:val="clear" w:color="auto" w:fill="auto"/>
            <w:noWrap/>
            <w:vAlign w:val="center"/>
          </w:tcPr>
          <w:p w:rsidR="009B1312" w:rsidRPr="00002CA1" w:rsidRDefault="009B1312" w:rsidP="006F0A3B">
            <w:pPr>
              <w:spacing w:line="276" w:lineRule="auto"/>
              <w:jc w:val="center"/>
              <w:rPr>
                <w:rFonts w:eastAsia="Calibri"/>
                <w:b/>
                <w:color w:val="FF0000"/>
                <w:sz w:val="22"/>
                <w:szCs w:val="22"/>
              </w:rPr>
            </w:pPr>
          </w:p>
        </w:tc>
      </w:tr>
      <w:tr w:rsidR="009B1312" w:rsidRPr="00002CA1" w:rsidTr="006F0A3B">
        <w:trPr>
          <w:trHeight w:val="200"/>
        </w:trPr>
        <w:tc>
          <w:tcPr>
            <w:tcW w:w="4779" w:type="dxa"/>
            <w:shd w:val="clear" w:color="auto" w:fill="auto"/>
            <w:noWrap/>
          </w:tcPr>
          <w:p w:rsidR="009B1312" w:rsidRPr="00002CA1" w:rsidRDefault="009B1312" w:rsidP="006F0A3B">
            <w:pPr>
              <w:spacing w:line="276" w:lineRule="auto"/>
              <w:rPr>
                <w:rFonts w:eastAsia="Calibri"/>
                <w:b/>
                <w:sz w:val="22"/>
                <w:szCs w:val="22"/>
                <w:lang w:eastAsia="en-US"/>
              </w:rPr>
            </w:pPr>
            <w:r w:rsidRPr="00002CA1">
              <w:rPr>
                <w:rFonts w:eastAsia="Calibri"/>
                <w:b/>
                <w:sz w:val="22"/>
                <w:szCs w:val="22"/>
                <w:lang w:eastAsia="en-US"/>
              </w:rPr>
              <w:t>Odmena celkom</w:t>
            </w:r>
          </w:p>
        </w:tc>
        <w:tc>
          <w:tcPr>
            <w:tcW w:w="1918" w:type="dxa"/>
          </w:tcPr>
          <w:p w:rsidR="009B1312" w:rsidRPr="00002CA1" w:rsidRDefault="009B1312" w:rsidP="006F0A3B">
            <w:pPr>
              <w:spacing w:line="276" w:lineRule="auto"/>
              <w:jc w:val="center"/>
              <w:rPr>
                <w:rFonts w:eastAsia="Calibri"/>
                <w:b/>
                <w:color w:val="000000"/>
                <w:sz w:val="22"/>
                <w:szCs w:val="22"/>
              </w:rPr>
            </w:pPr>
          </w:p>
        </w:tc>
        <w:tc>
          <w:tcPr>
            <w:tcW w:w="1762" w:type="dxa"/>
            <w:shd w:val="clear" w:color="auto" w:fill="auto"/>
            <w:noWrap/>
            <w:vAlign w:val="center"/>
          </w:tcPr>
          <w:p w:rsidR="009B1312" w:rsidRPr="00002CA1" w:rsidRDefault="009B1312" w:rsidP="006F0A3B">
            <w:pPr>
              <w:spacing w:line="276" w:lineRule="auto"/>
              <w:jc w:val="center"/>
              <w:rPr>
                <w:rFonts w:eastAsia="Calibri"/>
                <w:b/>
                <w:color w:val="000000"/>
                <w:sz w:val="22"/>
                <w:szCs w:val="22"/>
              </w:rPr>
            </w:pPr>
          </w:p>
        </w:tc>
      </w:tr>
    </w:tbl>
    <w:p w:rsidR="009B1312" w:rsidRPr="00002CA1" w:rsidRDefault="009B1312" w:rsidP="009B1312">
      <w:pPr>
        <w:spacing w:line="276" w:lineRule="auto"/>
        <w:contextualSpacing/>
        <w:rPr>
          <w:rFonts w:eastAsia="Book Antiqua"/>
          <w:b/>
          <w:sz w:val="22"/>
          <w:szCs w:val="22"/>
          <w:lang w:eastAsia="en-US"/>
        </w:rPr>
      </w:pPr>
    </w:p>
    <w:p w:rsidR="009B1312" w:rsidRPr="00002CA1" w:rsidRDefault="009B1312" w:rsidP="009B1312">
      <w:pPr>
        <w:numPr>
          <w:ilvl w:val="0"/>
          <w:numId w:val="5"/>
        </w:numPr>
        <w:spacing w:after="200" w:line="276" w:lineRule="auto"/>
        <w:ind w:left="567" w:hanging="567"/>
        <w:contextualSpacing/>
        <w:jc w:val="both"/>
        <w:rPr>
          <w:rFonts w:eastAsia="Calibri"/>
          <w:sz w:val="22"/>
          <w:szCs w:val="22"/>
          <w:lang w:eastAsia="en-US"/>
        </w:rPr>
      </w:pPr>
      <w:r w:rsidRPr="00002CA1">
        <w:rPr>
          <w:rFonts w:eastAsia="Calibri"/>
          <w:sz w:val="22"/>
          <w:szCs w:val="22"/>
          <w:lang w:eastAsia="en-US"/>
        </w:rPr>
        <w:t>K odmene Dodávateľa bude pripočítaná DPH v zmysle zákona č. 222/2004 Z. z. o dani z pridanej hodnoty v znení neskorších predpisov.</w:t>
      </w:r>
    </w:p>
    <w:p w:rsidR="009B1312" w:rsidRPr="00002CA1" w:rsidRDefault="009B1312" w:rsidP="009B1312">
      <w:pPr>
        <w:spacing w:line="276" w:lineRule="auto"/>
        <w:jc w:val="both"/>
        <w:rPr>
          <w:rFonts w:eastAsia="Calibri"/>
          <w:sz w:val="22"/>
          <w:szCs w:val="22"/>
          <w:lang w:eastAsia="en-US"/>
        </w:rPr>
      </w:pPr>
    </w:p>
    <w:p w:rsidR="009B1312" w:rsidRPr="00002CA1" w:rsidRDefault="009B1312" w:rsidP="009B1312">
      <w:pPr>
        <w:numPr>
          <w:ilvl w:val="0"/>
          <w:numId w:val="5"/>
        </w:numPr>
        <w:spacing w:after="200" w:line="276" w:lineRule="auto"/>
        <w:ind w:left="567" w:hanging="567"/>
        <w:contextualSpacing/>
        <w:jc w:val="both"/>
        <w:rPr>
          <w:rFonts w:eastAsia="Calibri"/>
          <w:sz w:val="22"/>
          <w:szCs w:val="22"/>
          <w:lang w:eastAsia="en-US"/>
        </w:rPr>
      </w:pPr>
      <w:r w:rsidRPr="00002CA1">
        <w:rPr>
          <w:rFonts w:eastAsia="Calibri"/>
          <w:sz w:val="22"/>
          <w:szCs w:val="22"/>
          <w:lang w:eastAsia="cs-CZ"/>
        </w:rPr>
        <w:t xml:space="preserve">V odmene Dodávateľa sú zahrnuté všetky náklady Poskytovateľa spojené s vykonaním predmetu plnenia vrátane nákladov na dopravu a ubytovanie mimo Banskej Bystrice. </w:t>
      </w:r>
    </w:p>
    <w:p w:rsidR="009B1312" w:rsidRPr="00002CA1" w:rsidRDefault="009B1312" w:rsidP="009B1312">
      <w:pPr>
        <w:spacing w:after="200" w:line="276" w:lineRule="auto"/>
        <w:ind w:left="720"/>
        <w:contextualSpacing/>
        <w:rPr>
          <w:rFonts w:eastAsia="Calibri"/>
          <w:sz w:val="22"/>
          <w:szCs w:val="22"/>
          <w:lang w:eastAsia="en-US"/>
        </w:rPr>
      </w:pPr>
    </w:p>
    <w:p w:rsidR="009B1312" w:rsidRPr="00002CA1" w:rsidRDefault="009B1312" w:rsidP="009B1312">
      <w:pPr>
        <w:numPr>
          <w:ilvl w:val="0"/>
          <w:numId w:val="5"/>
        </w:numPr>
        <w:spacing w:after="200" w:line="276" w:lineRule="auto"/>
        <w:ind w:left="567" w:hanging="567"/>
        <w:contextualSpacing/>
        <w:jc w:val="both"/>
        <w:rPr>
          <w:rFonts w:eastAsia="Calibri"/>
          <w:sz w:val="22"/>
          <w:szCs w:val="22"/>
          <w:lang w:eastAsia="en-US"/>
        </w:rPr>
      </w:pPr>
      <w:r w:rsidRPr="00002CA1">
        <w:rPr>
          <w:rFonts w:eastAsia="Calibri"/>
          <w:sz w:val="22"/>
          <w:szCs w:val="22"/>
          <w:lang w:eastAsia="en-US"/>
        </w:rPr>
        <w:t>Odmena Dodávateľa bude fakturovaná jednotlivo, po ukončení každej časti uvedenej v bode 3.1 tohto článku.</w:t>
      </w:r>
    </w:p>
    <w:p w:rsidR="009B1312" w:rsidRPr="00002CA1" w:rsidRDefault="009B1312" w:rsidP="009B1312">
      <w:pPr>
        <w:spacing w:line="276" w:lineRule="auto"/>
        <w:jc w:val="both"/>
        <w:rPr>
          <w:rFonts w:eastAsia="Calibri"/>
          <w:sz w:val="22"/>
          <w:szCs w:val="22"/>
          <w:lang w:eastAsia="en-US"/>
        </w:rPr>
      </w:pPr>
    </w:p>
    <w:p w:rsidR="009B1312" w:rsidRPr="00002CA1" w:rsidRDefault="009B1312" w:rsidP="009B1312">
      <w:pPr>
        <w:numPr>
          <w:ilvl w:val="0"/>
          <w:numId w:val="5"/>
        </w:numPr>
        <w:spacing w:after="200" w:line="276" w:lineRule="auto"/>
        <w:ind w:left="567" w:hanging="567"/>
        <w:contextualSpacing/>
        <w:jc w:val="both"/>
        <w:rPr>
          <w:rFonts w:eastAsia="Calibri"/>
          <w:sz w:val="22"/>
          <w:szCs w:val="22"/>
          <w:lang w:eastAsia="en-US"/>
        </w:rPr>
      </w:pPr>
      <w:r w:rsidRPr="00002CA1">
        <w:rPr>
          <w:rFonts w:eastAsia="Calibri"/>
          <w:sz w:val="22"/>
          <w:szCs w:val="22"/>
          <w:lang w:eastAsia="en-US"/>
        </w:rPr>
        <w:t>Dodávateľ je oprávnený vystaviť faktúru ihneď po vykonaní každej časti uvedenej v bode 3.1 tohto článku.</w:t>
      </w:r>
    </w:p>
    <w:p w:rsidR="009B1312" w:rsidRPr="00002CA1" w:rsidRDefault="009B1312" w:rsidP="009B1312">
      <w:pPr>
        <w:spacing w:line="276" w:lineRule="auto"/>
        <w:jc w:val="both"/>
        <w:rPr>
          <w:rFonts w:eastAsia="Calibri"/>
          <w:sz w:val="22"/>
          <w:szCs w:val="22"/>
          <w:lang w:eastAsia="en-US"/>
        </w:rPr>
      </w:pPr>
    </w:p>
    <w:p w:rsidR="009B1312" w:rsidRPr="00002CA1" w:rsidRDefault="009B1312" w:rsidP="009B1312">
      <w:pPr>
        <w:numPr>
          <w:ilvl w:val="0"/>
          <w:numId w:val="5"/>
        </w:numPr>
        <w:spacing w:after="200" w:line="276" w:lineRule="auto"/>
        <w:ind w:left="567" w:hanging="567"/>
        <w:contextualSpacing/>
        <w:jc w:val="both"/>
        <w:rPr>
          <w:rFonts w:eastAsia="Calibri"/>
          <w:sz w:val="22"/>
          <w:szCs w:val="22"/>
          <w:lang w:eastAsia="en-US"/>
        </w:rPr>
      </w:pPr>
      <w:r w:rsidRPr="00002CA1">
        <w:rPr>
          <w:rFonts w:eastAsia="Calibri"/>
          <w:sz w:val="22"/>
          <w:szCs w:val="22"/>
          <w:lang w:eastAsia="en-US"/>
        </w:rPr>
        <w:t>Splatnosť faktúr vystavených Dodávateľom bude 14 dní odo dňa ich vystavenia.</w:t>
      </w:r>
    </w:p>
    <w:p w:rsidR="009B1312" w:rsidRPr="00002CA1" w:rsidRDefault="009B1312" w:rsidP="009B1312">
      <w:pPr>
        <w:spacing w:line="276" w:lineRule="auto"/>
        <w:jc w:val="both"/>
        <w:rPr>
          <w:rFonts w:eastAsia="Calibri"/>
          <w:sz w:val="22"/>
          <w:szCs w:val="22"/>
          <w:lang w:eastAsia="en-US"/>
        </w:rPr>
      </w:pPr>
    </w:p>
    <w:p w:rsidR="009B1312" w:rsidRPr="00002CA1" w:rsidRDefault="009B1312" w:rsidP="009B1312">
      <w:pPr>
        <w:spacing w:line="276" w:lineRule="auto"/>
        <w:jc w:val="center"/>
        <w:rPr>
          <w:rFonts w:eastAsia="Book Antiqua"/>
          <w:b/>
          <w:sz w:val="22"/>
          <w:szCs w:val="22"/>
          <w:lang w:eastAsia="en-US"/>
        </w:rPr>
      </w:pPr>
      <w:r w:rsidRPr="00002CA1">
        <w:rPr>
          <w:rFonts w:eastAsia="Book Antiqua"/>
          <w:b/>
          <w:sz w:val="22"/>
          <w:szCs w:val="22"/>
          <w:lang w:eastAsia="en-US"/>
        </w:rPr>
        <w:t>Článok IV.</w:t>
      </w:r>
    </w:p>
    <w:p w:rsidR="009B1312" w:rsidRPr="00002CA1" w:rsidRDefault="009B1312" w:rsidP="009B1312">
      <w:pPr>
        <w:spacing w:line="276" w:lineRule="auto"/>
        <w:jc w:val="center"/>
        <w:rPr>
          <w:rFonts w:eastAsia="Book Antiqua"/>
          <w:b/>
          <w:sz w:val="22"/>
          <w:szCs w:val="22"/>
          <w:lang w:eastAsia="en-US"/>
        </w:rPr>
      </w:pPr>
      <w:r w:rsidRPr="00002CA1">
        <w:rPr>
          <w:rFonts w:eastAsia="Book Antiqua"/>
          <w:b/>
          <w:sz w:val="22"/>
          <w:szCs w:val="22"/>
          <w:lang w:eastAsia="en-US"/>
        </w:rPr>
        <w:t>TERMÍNY A MIESTO PLNENIA</w:t>
      </w:r>
    </w:p>
    <w:p w:rsidR="009B1312" w:rsidRPr="00002CA1" w:rsidRDefault="009B1312" w:rsidP="009B1312">
      <w:pPr>
        <w:spacing w:line="276" w:lineRule="auto"/>
        <w:rPr>
          <w:rFonts w:eastAsia="Book Antiqua"/>
          <w:b/>
          <w:sz w:val="22"/>
          <w:szCs w:val="22"/>
          <w:lang w:eastAsia="en-US"/>
        </w:rPr>
      </w:pPr>
    </w:p>
    <w:p w:rsidR="009B1312" w:rsidRPr="00002CA1" w:rsidRDefault="009B1312" w:rsidP="009B1312">
      <w:pPr>
        <w:numPr>
          <w:ilvl w:val="0"/>
          <w:numId w:val="6"/>
        </w:numPr>
        <w:spacing w:after="200" w:line="276" w:lineRule="auto"/>
        <w:ind w:left="567" w:hanging="567"/>
        <w:contextualSpacing/>
        <w:jc w:val="both"/>
        <w:rPr>
          <w:rFonts w:eastAsia="Book Antiqua"/>
          <w:b/>
          <w:sz w:val="22"/>
          <w:szCs w:val="22"/>
          <w:lang w:eastAsia="en-US"/>
        </w:rPr>
      </w:pPr>
      <w:r w:rsidRPr="00002CA1">
        <w:rPr>
          <w:rFonts w:eastAsia="Calibri"/>
          <w:sz w:val="22"/>
          <w:szCs w:val="22"/>
          <w:lang w:eastAsia="en-US"/>
        </w:rPr>
        <w:t>Dodávateľ sa zaväzuje vykonávať konzultácie priebežne, pokiaľ nenastane okolnosť podľa tejto Zmluvy, ktorá by mala vplyv na plnenie povinností podľa tejto Zmluvy.</w:t>
      </w:r>
    </w:p>
    <w:p w:rsidR="009B1312" w:rsidRPr="00002CA1" w:rsidRDefault="009B1312" w:rsidP="009B1312">
      <w:pPr>
        <w:spacing w:line="276" w:lineRule="auto"/>
        <w:jc w:val="both"/>
        <w:rPr>
          <w:rFonts w:eastAsia="Book Antiqua"/>
          <w:b/>
          <w:sz w:val="22"/>
          <w:szCs w:val="22"/>
          <w:lang w:eastAsia="en-US"/>
        </w:rPr>
      </w:pPr>
    </w:p>
    <w:p w:rsidR="009B1312" w:rsidRPr="00002CA1" w:rsidRDefault="009B1312" w:rsidP="009B1312">
      <w:pPr>
        <w:numPr>
          <w:ilvl w:val="0"/>
          <w:numId w:val="6"/>
        </w:numPr>
        <w:spacing w:after="200" w:line="276" w:lineRule="auto"/>
        <w:ind w:left="567" w:hanging="567"/>
        <w:contextualSpacing/>
        <w:jc w:val="both"/>
        <w:rPr>
          <w:rFonts w:eastAsia="Calibri"/>
          <w:sz w:val="22"/>
          <w:szCs w:val="22"/>
          <w:lang w:eastAsia="en-US"/>
        </w:rPr>
      </w:pPr>
      <w:r w:rsidRPr="00002CA1">
        <w:rPr>
          <w:rFonts w:eastAsia="Calibri"/>
          <w:sz w:val="22"/>
          <w:szCs w:val="22"/>
          <w:lang w:eastAsia="en-US"/>
        </w:rPr>
        <w:t xml:space="preserve">Objednávateľ je povinný počínať si tak, aby Dodávateľ mohol zhotoviť celý predmet plnenia najneskôr </w:t>
      </w:r>
      <w:r w:rsidRPr="006A65B9">
        <w:rPr>
          <w:rFonts w:eastAsia="Calibri"/>
          <w:b/>
          <w:sz w:val="22"/>
          <w:szCs w:val="22"/>
          <w:lang w:eastAsia="en-US"/>
        </w:rPr>
        <w:t>do 31.12.2021</w:t>
      </w:r>
      <w:r w:rsidRPr="00002CA1">
        <w:rPr>
          <w:rFonts w:eastAsia="Calibri"/>
          <w:sz w:val="22"/>
          <w:szCs w:val="22"/>
          <w:lang w:eastAsia="en-US"/>
        </w:rPr>
        <w:t xml:space="preserve">. Pokiaľ porušením povinnosti Objednávateľa k zhotoveniu predmetu </w:t>
      </w:r>
      <w:r w:rsidRPr="00002CA1">
        <w:rPr>
          <w:rFonts w:eastAsia="Calibri"/>
          <w:sz w:val="22"/>
          <w:szCs w:val="22"/>
          <w:lang w:eastAsia="en-US"/>
        </w:rPr>
        <w:lastRenderedPageBreak/>
        <w:t>plnenia nedôjde v uvedenom termíne, považuje sa predmet plnenia týmto dňom za hotový v plnom rozsahu a Dodávateľovi prináleží celá dohodnutá odmena.</w:t>
      </w:r>
    </w:p>
    <w:p w:rsidR="009B1312" w:rsidRPr="00002CA1" w:rsidRDefault="009B1312" w:rsidP="009B1312">
      <w:pPr>
        <w:spacing w:line="276" w:lineRule="auto"/>
        <w:jc w:val="both"/>
        <w:rPr>
          <w:rFonts w:eastAsia="Calibri"/>
          <w:sz w:val="22"/>
          <w:szCs w:val="22"/>
          <w:lang w:eastAsia="en-US"/>
        </w:rPr>
      </w:pPr>
    </w:p>
    <w:p w:rsidR="009B1312" w:rsidRPr="00002CA1" w:rsidRDefault="009B1312" w:rsidP="009B1312">
      <w:pPr>
        <w:numPr>
          <w:ilvl w:val="0"/>
          <w:numId w:val="6"/>
        </w:numPr>
        <w:spacing w:after="200" w:line="276" w:lineRule="auto"/>
        <w:ind w:left="567" w:hanging="567"/>
        <w:contextualSpacing/>
        <w:jc w:val="both"/>
        <w:rPr>
          <w:rFonts w:eastAsia="Book Antiqua"/>
          <w:b/>
          <w:sz w:val="22"/>
          <w:szCs w:val="22"/>
          <w:lang w:eastAsia="en-US"/>
        </w:rPr>
      </w:pPr>
      <w:r w:rsidRPr="00002CA1">
        <w:rPr>
          <w:rFonts w:eastAsia="Book Antiqua"/>
          <w:sz w:val="22"/>
          <w:szCs w:val="22"/>
          <w:lang w:eastAsia="en-US"/>
        </w:rPr>
        <w:t>Miestom plnenia sa rozumie sídlo, resp. prevádzka Objednávateľa.</w:t>
      </w:r>
    </w:p>
    <w:p w:rsidR="009B1312" w:rsidRPr="00002CA1" w:rsidRDefault="009B1312" w:rsidP="009B1312">
      <w:pPr>
        <w:spacing w:line="276" w:lineRule="auto"/>
        <w:jc w:val="both"/>
        <w:rPr>
          <w:rFonts w:eastAsia="Book Antiqua"/>
          <w:b/>
          <w:sz w:val="22"/>
          <w:szCs w:val="22"/>
          <w:lang w:eastAsia="en-US"/>
        </w:rPr>
      </w:pPr>
    </w:p>
    <w:p w:rsidR="009B1312" w:rsidRDefault="009B1312" w:rsidP="009B1312">
      <w:pPr>
        <w:spacing w:line="276" w:lineRule="auto"/>
        <w:jc w:val="center"/>
        <w:rPr>
          <w:rFonts w:eastAsia="Book Antiqua"/>
          <w:b/>
          <w:sz w:val="22"/>
          <w:szCs w:val="22"/>
          <w:lang w:eastAsia="en-US"/>
        </w:rPr>
      </w:pPr>
      <w:r w:rsidRPr="00002CA1">
        <w:rPr>
          <w:rFonts w:eastAsia="Book Antiqua"/>
          <w:b/>
          <w:sz w:val="22"/>
          <w:szCs w:val="22"/>
          <w:lang w:eastAsia="en-US"/>
        </w:rPr>
        <w:t>Článok V.</w:t>
      </w:r>
    </w:p>
    <w:p w:rsidR="009B1312" w:rsidRDefault="009B1312" w:rsidP="009B1312">
      <w:pPr>
        <w:spacing w:line="276" w:lineRule="auto"/>
        <w:jc w:val="center"/>
        <w:rPr>
          <w:rFonts w:eastAsia="Book Antiqua"/>
          <w:b/>
          <w:caps/>
          <w:sz w:val="22"/>
          <w:szCs w:val="22"/>
          <w:lang w:eastAsia="en-US"/>
        </w:rPr>
      </w:pPr>
      <w:r>
        <w:rPr>
          <w:rFonts w:eastAsia="Book Antiqua"/>
          <w:b/>
          <w:caps/>
          <w:sz w:val="22"/>
          <w:szCs w:val="22"/>
          <w:lang w:eastAsia="en-US"/>
        </w:rPr>
        <w:t xml:space="preserve">Kontrola, audit a </w:t>
      </w:r>
      <w:r w:rsidRPr="002B7388">
        <w:rPr>
          <w:rFonts w:eastAsia="Book Antiqua"/>
          <w:b/>
          <w:caps/>
          <w:sz w:val="22"/>
          <w:szCs w:val="22"/>
          <w:lang w:eastAsia="en-US"/>
        </w:rPr>
        <w:t>overovanie na mieste</w:t>
      </w:r>
    </w:p>
    <w:p w:rsidR="009B1312" w:rsidRPr="002B7388" w:rsidRDefault="009B1312" w:rsidP="009B1312">
      <w:pPr>
        <w:spacing w:line="276" w:lineRule="auto"/>
        <w:jc w:val="center"/>
        <w:rPr>
          <w:rFonts w:eastAsia="Book Antiqua"/>
          <w:b/>
          <w:caps/>
          <w:sz w:val="22"/>
          <w:szCs w:val="22"/>
          <w:lang w:eastAsia="en-US"/>
        </w:rPr>
      </w:pPr>
    </w:p>
    <w:p w:rsidR="009B1312" w:rsidRDefault="009B1312" w:rsidP="009B1312">
      <w:pPr>
        <w:numPr>
          <w:ilvl w:val="1"/>
          <w:numId w:val="11"/>
        </w:numPr>
        <w:spacing w:after="200" w:line="276" w:lineRule="auto"/>
        <w:ind w:left="567" w:hanging="567"/>
        <w:contextualSpacing/>
        <w:jc w:val="both"/>
        <w:rPr>
          <w:rFonts w:eastAsia="Calibri"/>
          <w:sz w:val="22"/>
          <w:szCs w:val="22"/>
          <w:lang w:eastAsia="en-US"/>
        </w:rPr>
      </w:pPr>
      <w:r>
        <w:rPr>
          <w:rFonts w:eastAsia="Calibri"/>
          <w:sz w:val="22"/>
          <w:szCs w:val="22"/>
          <w:lang w:eastAsia="en-US"/>
        </w:rPr>
        <w:t>Dodávateľ</w:t>
      </w:r>
      <w:r w:rsidRPr="002B7388">
        <w:rPr>
          <w:rFonts w:eastAsia="Calibri"/>
          <w:sz w:val="22"/>
          <w:szCs w:val="22"/>
          <w:lang w:eastAsia="en-US"/>
        </w:rPr>
        <w:t xml:space="preserve"> je povinný strpieť výkon kontroly (auditu) overovania súvisiaceho s</w:t>
      </w:r>
      <w:r>
        <w:rPr>
          <w:rFonts w:eastAsia="Calibri"/>
          <w:sz w:val="22"/>
          <w:szCs w:val="22"/>
          <w:lang w:eastAsia="en-US"/>
        </w:rPr>
        <w:t> poskytovanými</w:t>
      </w:r>
      <w:r w:rsidRPr="002B7388">
        <w:rPr>
          <w:rFonts w:eastAsia="Calibri"/>
          <w:sz w:val="22"/>
          <w:szCs w:val="22"/>
          <w:lang w:eastAsia="en-US"/>
        </w:rPr>
        <w:t> službami kedykoľvek počas pla</w:t>
      </w:r>
      <w:r>
        <w:rPr>
          <w:rFonts w:eastAsia="Calibri"/>
          <w:sz w:val="22"/>
          <w:szCs w:val="22"/>
          <w:lang w:eastAsia="en-US"/>
        </w:rPr>
        <w:t>tnosti a účinnosti Zmluvy o NFP,</w:t>
      </w:r>
      <w:r w:rsidRPr="002B7388">
        <w:rPr>
          <w:rFonts w:eastAsia="Calibri"/>
          <w:sz w:val="22"/>
          <w:szCs w:val="22"/>
          <w:lang w:eastAsia="en-US"/>
        </w:rPr>
        <w:t xml:space="preserve"> a to oprávnenými osobami v zmysle príslušných článkov Všeobecných zmluvných podmienok k jednotlivým Zmluvám  o poskytnutí nenávratné</w:t>
      </w:r>
      <w:r>
        <w:rPr>
          <w:rFonts w:eastAsia="Calibri"/>
          <w:sz w:val="22"/>
          <w:szCs w:val="22"/>
          <w:lang w:eastAsia="en-US"/>
        </w:rPr>
        <w:t>ho finančného príspevku</w:t>
      </w:r>
      <w:r w:rsidRPr="002B7388">
        <w:rPr>
          <w:rFonts w:eastAsia="Calibri"/>
          <w:sz w:val="22"/>
          <w:szCs w:val="22"/>
          <w:lang w:eastAsia="en-US"/>
        </w:rPr>
        <w:t xml:space="preserve"> a poskytnúť im všetku potrebnú  a požadovanú súčinnosť. </w:t>
      </w:r>
    </w:p>
    <w:p w:rsidR="009B1312" w:rsidRDefault="009B1312" w:rsidP="009B1312">
      <w:pPr>
        <w:spacing w:after="200" w:line="276" w:lineRule="auto"/>
        <w:ind w:left="567"/>
        <w:contextualSpacing/>
        <w:jc w:val="both"/>
        <w:rPr>
          <w:rFonts w:eastAsia="Calibri"/>
          <w:sz w:val="22"/>
          <w:szCs w:val="22"/>
          <w:lang w:eastAsia="en-US"/>
        </w:rPr>
      </w:pPr>
    </w:p>
    <w:p w:rsidR="009B1312" w:rsidRPr="00B2089E" w:rsidRDefault="009B1312" w:rsidP="009B1312">
      <w:pPr>
        <w:numPr>
          <w:ilvl w:val="1"/>
          <w:numId w:val="11"/>
        </w:numPr>
        <w:spacing w:after="200" w:line="276" w:lineRule="auto"/>
        <w:ind w:left="567" w:hanging="567"/>
        <w:contextualSpacing/>
        <w:jc w:val="both"/>
        <w:rPr>
          <w:rFonts w:eastAsia="Calibri"/>
          <w:sz w:val="22"/>
          <w:szCs w:val="22"/>
          <w:lang w:eastAsia="en-US"/>
        </w:rPr>
      </w:pPr>
      <w:r w:rsidRPr="002B7388">
        <w:rPr>
          <w:rFonts w:eastAsia="Calibri"/>
          <w:sz w:val="22"/>
          <w:szCs w:val="22"/>
          <w:lang w:eastAsia="en-US"/>
        </w:rPr>
        <w:t xml:space="preserve">Pokiaľ niektorý predmet plnenia </w:t>
      </w:r>
      <w:r>
        <w:rPr>
          <w:rFonts w:eastAsia="Calibri"/>
          <w:sz w:val="22"/>
          <w:szCs w:val="22"/>
          <w:lang w:eastAsia="en-US"/>
        </w:rPr>
        <w:t>dodávateľa</w:t>
      </w:r>
      <w:r w:rsidRPr="002B7388">
        <w:rPr>
          <w:rFonts w:eastAsia="Calibri"/>
          <w:sz w:val="22"/>
          <w:szCs w:val="22"/>
          <w:lang w:eastAsia="en-US"/>
        </w:rPr>
        <w:t xml:space="preserve"> zabezpečuje subdodávateľským spôsobom, je povinný vo svojej subdodávateľskej zmluve dohodnúť právo kontroly obchodných dokumentov dodávateľa súvisiacich s realizáciou Projektov v rovnakom rozsahu, uvedenom v bode </w:t>
      </w:r>
      <w:r>
        <w:rPr>
          <w:rFonts w:eastAsia="Calibri"/>
          <w:sz w:val="22"/>
          <w:szCs w:val="22"/>
          <w:lang w:eastAsia="en-US"/>
        </w:rPr>
        <w:t>5.</w:t>
      </w:r>
      <w:r w:rsidRPr="002B7388">
        <w:rPr>
          <w:rFonts w:eastAsia="Calibri"/>
          <w:sz w:val="22"/>
          <w:szCs w:val="22"/>
          <w:lang w:eastAsia="en-US"/>
        </w:rPr>
        <w:t>1.</w:t>
      </w:r>
    </w:p>
    <w:p w:rsidR="009B1312" w:rsidRPr="00002CA1" w:rsidRDefault="009B1312" w:rsidP="009B1312">
      <w:pPr>
        <w:spacing w:line="276" w:lineRule="auto"/>
        <w:jc w:val="center"/>
        <w:rPr>
          <w:rFonts w:eastAsia="Book Antiqua"/>
          <w:b/>
          <w:sz w:val="22"/>
          <w:szCs w:val="22"/>
          <w:lang w:eastAsia="en-US"/>
        </w:rPr>
      </w:pPr>
    </w:p>
    <w:p w:rsidR="009B1312" w:rsidRDefault="009B1312" w:rsidP="009B1312">
      <w:pPr>
        <w:spacing w:line="276" w:lineRule="auto"/>
        <w:jc w:val="center"/>
        <w:rPr>
          <w:rFonts w:eastAsia="Book Antiqua"/>
          <w:b/>
          <w:sz w:val="22"/>
          <w:szCs w:val="22"/>
          <w:lang w:eastAsia="en-US"/>
        </w:rPr>
      </w:pPr>
      <w:r>
        <w:rPr>
          <w:rFonts w:eastAsia="Book Antiqua"/>
          <w:b/>
          <w:sz w:val="22"/>
          <w:szCs w:val="22"/>
          <w:lang w:eastAsia="en-US"/>
        </w:rPr>
        <w:t>Článok VI.</w:t>
      </w:r>
    </w:p>
    <w:p w:rsidR="009B1312" w:rsidRPr="00002CA1" w:rsidRDefault="009B1312" w:rsidP="009B1312">
      <w:pPr>
        <w:spacing w:line="276" w:lineRule="auto"/>
        <w:jc w:val="center"/>
        <w:rPr>
          <w:rFonts w:eastAsia="Book Antiqua"/>
          <w:b/>
          <w:sz w:val="22"/>
          <w:szCs w:val="22"/>
          <w:lang w:eastAsia="en-US"/>
        </w:rPr>
      </w:pPr>
      <w:r w:rsidRPr="00002CA1">
        <w:rPr>
          <w:rFonts w:eastAsia="Book Antiqua"/>
          <w:b/>
          <w:sz w:val="22"/>
          <w:szCs w:val="22"/>
          <w:lang w:eastAsia="en-US"/>
        </w:rPr>
        <w:t>ZODPOVEDNOSŤ A SANKCIE</w:t>
      </w:r>
    </w:p>
    <w:p w:rsidR="009B1312" w:rsidRPr="00002CA1" w:rsidRDefault="009B1312" w:rsidP="009B1312">
      <w:pPr>
        <w:spacing w:line="276" w:lineRule="auto"/>
        <w:jc w:val="both"/>
        <w:rPr>
          <w:rFonts w:eastAsia="Book Antiqua"/>
          <w:b/>
          <w:sz w:val="22"/>
          <w:szCs w:val="22"/>
          <w:lang w:eastAsia="en-US"/>
        </w:rPr>
      </w:pPr>
    </w:p>
    <w:p w:rsidR="009B1312" w:rsidRDefault="009B1312" w:rsidP="009B1312">
      <w:pPr>
        <w:numPr>
          <w:ilvl w:val="1"/>
          <w:numId w:val="12"/>
        </w:numPr>
        <w:spacing w:after="200" w:line="276" w:lineRule="auto"/>
        <w:ind w:left="567" w:hanging="567"/>
        <w:contextualSpacing/>
        <w:jc w:val="both"/>
        <w:rPr>
          <w:rFonts w:eastAsia="Calibri"/>
          <w:sz w:val="22"/>
          <w:szCs w:val="22"/>
          <w:lang w:eastAsia="en-US"/>
        </w:rPr>
      </w:pPr>
      <w:r w:rsidRPr="00002CA1">
        <w:rPr>
          <w:rFonts w:eastAsia="Calibri"/>
          <w:sz w:val="22"/>
          <w:szCs w:val="22"/>
          <w:lang w:eastAsia="en-US"/>
        </w:rPr>
        <w:t>Dodávateľ zodpovedá Objednávateľovi za škodu, ak by mu bola s</w:t>
      </w:r>
      <w:r>
        <w:rPr>
          <w:rFonts w:eastAsia="Calibri"/>
          <w:sz w:val="22"/>
          <w:szCs w:val="22"/>
          <w:lang w:eastAsia="en-US"/>
        </w:rPr>
        <w:t xml:space="preserve">pôsobená porušením povinností </w:t>
      </w:r>
      <w:r w:rsidRPr="00002CA1">
        <w:rPr>
          <w:rFonts w:eastAsia="Calibri"/>
          <w:sz w:val="22"/>
          <w:szCs w:val="22"/>
          <w:lang w:eastAsia="en-US"/>
        </w:rPr>
        <w:t>Dodávateľa pri realizácii predmetu Zmluvy.</w:t>
      </w:r>
    </w:p>
    <w:p w:rsidR="009B1312" w:rsidRPr="00E53B0C" w:rsidRDefault="009B1312" w:rsidP="009B1312">
      <w:pPr>
        <w:spacing w:after="200" w:line="276" w:lineRule="auto"/>
        <w:contextualSpacing/>
        <w:jc w:val="both"/>
        <w:rPr>
          <w:rFonts w:eastAsia="Calibri"/>
          <w:sz w:val="22"/>
          <w:szCs w:val="22"/>
          <w:lang w:eastAsia="en-US"/>
        </w:rPr>
      </w:pPr>
    </w:p>
    <w:p w:rsidR="009B1312" w:rsidRDefault="009B1312" w:rsidP="009B1312">
      <w:pPr>
        <w:numPr>
          <w:ilvl w:val="1"/>
          <w:numId w:val="12"/>
        </w:numPr>
        <w:spacing w:after="200" w:line="276" w:lineRule="auto"/>
        <w:ind w:left="567" w:hanging="567"/>
        <w:contextualSpacing/>
        <w:jc w:val="both"/>
        <w:rPr>
          <w:rFonts w:eastAsia="Calibri"/>
          <w:sz w:val="22"/>
          <w:szCs w:val="22"/>
          <w:lang w:eastAsia="en-US"/>
        </w:rPr>
      </w:pPr>
      <w:r w:rsidRPr="00002CA1">
        <w:rPr>
          <w:rFonts w:eastAsia="Calibri"/>
          <w:sz w:val="22"/>
          <w:szCs w:val="22"/>
          <w:lang w:eastAsia="en-US"/>
        </w:rPr>
        <w:t>Dodávateľ nezodpovedá za škody spôsobené vyššou mocou.</w:t>
      </w:r>
    </w:p>
    <w:p w:rsidR="009B1312" w:rsidRPr="00E53B0C" w:rsidRDefault="009B1312" w:rsidP="009B1312">
      <w:pPr>
        <w:spacing w:after="200" w:line="276" w:lineRule="auto"/>
        <w:contextualSpacing/>
        <w:jc w:val="both"/>
        <w:rPr>
          <w:rFonts w:eastAsia="Calibri"/>
          <w:sz w:val="22"/>
          <w:szCs w:val="22"/>
          <w:lang w:eastAsia="en-US"/>
        </w:rPr>
      </w:pPr>
    </w:p>
    <w:p w:rsidR="009B1312" w:rsidRDefault="009B1312" w:rsidP="009B1312">
      <w:pPr>
        <w:numPr>
          <w:ilvl w:val="1"/>
          <w:numId w:val="12"/>
        </w:numPr>
        <w:spacing w:after="200" w:line="276" w:lineRule="auto"/>
        <w:ind w:left="567" w:hanging="567"/>
        <w:contextualSpacing/>
        <w:jc w:val="both"/>
        <w:rPr>
          <w:rFonts w:eastAsia="Calibri"/>
          <w:sz w:val="22"/>
          <w:szCs w:val="22"/>
          <w:lang w:eastAsia="en-US"/>
        </w:rPr>
      </w:pPr>
      <w:r w:rsidRPr="00E53B0C">
        <w:rPr>
          <w:rFonts w:eastAsia="Calibri"/>
          <w:sz w:val="22"/>
          <w:szCs w:val="22"/>
          <w:lang w:eastAsia="en-US"/>
        </w:rPr>
        <w:t>Za podmienok stanovených touto Zmluvou Dodávateľ garantuje a zodpovedá za získanie certifikátov systémov podľa článku I. tejto Zmluvy od vybranej certifikačnej spoločnosti. V prípade neudelenia certifikátu z dôvodov na strane Dodávateľa, sa tento zaväzuje bezplatne odstrániť nedostatky brániace získaniu certifikátu. Objednávateľ je povinný poskytnúť Dodávateľovi potrebnú súčinnosť pri odstraňovaní nezhôd určených v správe.</w:t>
      </w:r>
    </w:p>
    <w:p w:rsidR="009B1312" w:rsidRPr="00E53B0C" w:rsidRDefault="009B1312" w:rsidP="009B1312">
      <w:pPr>
        <w:spacing w:after="200" w:line="276" w:lineRule="auto"/>
        <w:contextualSpacing/>
        <w:jc w:val="both"/>
        <w:rPr>
          <w:rFonts w:eastAsia="Calibri"/>
          <w:sz w:val="22"/>
          <w:szCs w:val="22"/>
          <w:lang w:eastAsia="en-US"/>
        </w:rPr>
      </w:pPr>
    </w:p>
    <w:p w:rsidR="009B1312" w:rsidRDefault="009B1312" w:rsidP="009B1312">
      <w:pPr>
        <w:numPr>
          <w:ilvl w:val="1"/>
          <w:numId w:val="12"/>
        </w:numPr>
        <w:spacing w:after="200" w:line="276" w:lineRule="auto"/>
        <w:ind w:left="567" w:hanging="567"/>
        <w:contextualSpacing/>
        <w:jc w:val="both"/>
        <w:rPr>
          <w:rFonts w:eastAsia="Calibri"/>
          <w:sz w:val="22"/>
          <w:szCs w:val="22"/>
          <w:lang w:eastAsia="en-US"/>
        </w:rPr>
      </w:pPr>
      <w:r w:rsidRPr="00E53B0C">
        <w:rPr>
          <w:rFonts w:eastAsia="Calibri"/>
          <w:sz w:val="22"/>
          <w:szCs w:val="22"/>
          <w:lang w:eastAsia="en-US"/>
        </w:rPr>
        <w:t>V prípade neudelenia certifikátu z dôvodov na strane Objednávateľa, sa Dodávateľ zaväzuje poskytnúť Objednávateľovi súčinnosť a poradenstvo pri odstraňovaní nezhôd určených v správe, za čo mu prináleží odmena vo výške 500,- Eur za každý aj začatý deň poskytnutého poradenstva. Dňom sa na tento účel rozumie 8 hodín.</w:t>
      </w:r>
    </w:p>
    <w:p w:rsidR="009B1312" w:rsidRPr="00E53B0C" w:rsidRDefault="009B1312" w:rsidP="009B1312">
      <w:pPr>
        <w:spacing w:after="200" w:line="276" w:lineRule="auto"/>
        <w:contextualSpacing/>
        <w:jc w:val="both"/>
        <w:rPr>
          <w:rFonts w:eastAsia="Calibri"/>
          <w:sz w:val="22"/>
          <w:szCs w:val="22"/>
          <w:lang w:eastAsia="en-US"/>
        </w:rPr>
      </w:pPr>
    </w:p>
    <w:p w:rsidR="009B1312" w:rsidRPr="00B2089E" w:rsidRDefault="009B1312" w:rsidP="009B1312">
      <w:pPr>
        <w:numPr>
          <w:ilvl w:val="1"/>
          <w:numId w:val="12"/>
        </w:numPr>
        <w:spacing w:after="200" w:line="276" w:lineRule="auto"/>
        <w:ind w:left="567" w:hanging="567"/>
        <w:contextualSpacing/>
        <w:jc w:val="both"/>
        <w:rPr>
          <w:rFonts w:eastAsia="Calibri"/>
          <w:sz w:val="22"/>
          <w:szCs w:val="22"/>
          <w:lang w:eastAsia="en-US"/>
        </w:rPr>
      </w:pPr>
      <w:r w:rsidRPr="00E53B0C">
        <w:rPr>
          <w:rFonts w:eastAsia="Calibri"/>
          <w:sz w:val="22"/>
          <w:szCs w:val="22"/>
        </w:rPr>
        <w:t>Pri nedodržaní času plnenia podľa článku IV. tejto Zmluvy je Objednávateľ oprávnený uplatňovať si u Dodávateľa zmluvnú pokutu vo výške 0,05 % z ceny nedodanej časti plnenia za každý aj začatý deň omeškania. Uvedené neplatí v prípade, ak čas plnenia nebude dodržaný z dôvodov na strane Objednávateľa, napr. z dôvodu zmien a/alebo presunutia vopred stanovených termínov stretnutí zodpovedných osôb, vrcholového vedenia a/alebo vybratých/určených zamestnancov s Dodávateľom alebo ich nedostatočného prístupu k naplneniu predmetu plnenia, pokiaľ na to Dodávateľ Objednávateľa upozorní. V takom prípade sa čas plnenia primerane predĺži.</w:t>
      </w:r>
    </w:p>
    <w:p w:rsidR="009B1312" w:rsidRDefault="009B1312" w:rsidP="009B1312">
      <w:pPr>
        <w:numPr>
          <w:ilvl w:val="1"/>
          <w:numId w:val="12"/>
        </w:numPr>
        <w:spacing w:after="200" w:line="276" w:lineRule="auto"/>
        <w:ind w:left="567" w:hanging="567"/>
        <w:contextualSpacing/>
        <w:jc w:val="both"/>
        <w:rPr>
          <w:rFonts w:eastAsia="Calibri"/>
          <w:sz w:val="22"/>
          <w:szCs w:val="22"/>
          <w:lang w:eastAsia="en-US"/>
        </w:rPr>
      </w:pPr>
      <w:r w:rsidRPr="00E53B0C">
        <w:rPr>
          <w:rFonts w:eastAsia="Calibri"/>
          <w:sz w:val="22"/>
          <w:szCs w:val="22"/>
        </w:rPr>
        <w:t>Dodávateľ nebude v omeškaní s plnením predmetu plnenia v prípade omeškania Objednávateľa s úhradou ktorejkoľvek platby podľa tejto Zmluvy a Dodávateľ je oprávnený prerušiť realizáciu predmetu plnenia podľa tejto Zmluvy, a to až do úhrady dlžnej sumy. O dobu omeškania sa predlžuje čas plnenia podľa tejto Zmluvy.</w:t>
      </w:r>
    </w:p>
    <w:p w:rsidR="009B1312" w:rsidRPr="00E53B0C" w:rsidRDefault="009B1312" w:rsidP="009B1312">
      <w:pPr>
        <w:spacing w:after="200" w:line="276" w:lineRule="auto"/>
        <w:contextualSpacing/>
        <w:jc w:val="both"/>
        <w:rPr>
          <w:rFonts w:eastAsia="Calibri"/>
          <w:sz w:val="22"/>
          <w:szCs w:val="22"/>
          <w:lang w:eastAsia="en-US"/>
        </w:rPr>
      </w:pPr>
    </w:p>
    <w:p w:rsidR="009B1312" w:rsidRDefault="009B1312" w:rsidP="009B1312">
      <w:pPr>
        <w:numPr>
          <w:ilvl w:val="1"/>
          <w:numId w:val="12"/>
        </w:numPr>
        <w:spacing w:after="200" w:line="276" w:lineRule="auto"/>
        <w:ind w:left="567" w:hanging="567"/>
        <w:contextualSpacing/>
        <w:jc w:val="both"/>
        <w:rPr>
          <w:rFonts w:eastAsia="Calibri"/>
          <w:sz w:val="22"/>
          <w:szCs w:val="22"/>
          <w:lang w:eastAsia="en-US"/>
        </w:rPr>
      </w:pPr>
      <w:r w:rsidRPr="00E53B0C">
        <w:rPr>
          <w:rFonts w:eastAsia="Calibri"/>
          <w:sz w:val="22"/>
          <w:szCs w:val="22"/>
        </w:rPr>
        <w:t>V prípade ak v dôsledku porušenia povinností podľa tejto Zmluvy dôjde k zrušeniu vopred stanovených stretnutí, a to najmenej deň vopred ich plánovaným termínom, prináleží Dodávateľovi paušálny nárok na náhradu straty času vo výške 500,-Eur za každé zrušené stretnutie. Náhradu straty času vyfakturuje Dodávateľ Objednávateľovi v najbližšom fakturačnom termíne. O uplatnení nároku a dôvodoch Dodávateľ Objednávateľa bezodkladne upovedomí.</w:t>
      </w:r>
    </w:p>
    <w:p w:rsidR="009B1312" w:rsidRPr="00E53B0C" w:rsidRDefault="009B1312" w:rsidP="009B1312">
      <w:pPr>
        <w:spacing w:after="200" w:line="276" w:lineRule="auto"/>
        <w:contextualSpacing/>
        <w:jc w:val="both"/>
        <w:rPr>
          <w:rFonts w:eastAsia="Calibri"/>
          <w:sz w:val="22"/>
          <w:szCs w:val="22"/>
          <w:lang w:eastAsia="en-US"/>
        </w:rPr>
      </w:pPr>
    </w:p>
    <w:p w:rsidR="009B1312" w:rsidRDefault="009B1312" w:rsidP="009B1312">
      <w:pPr>
        <w:numPr>
          <w:ilvl w:val="1"/>
          <w:numId w:val="12"/>
        </w:numPr>
        <w:spacing w:after="200" w:line="276" w:lineRule="auto"/>
        <w:ind w:left="567" w:hanging="567"/>
        <w:contextualSpacing/>
        <w:jc w:val="both"/>
        <w:rPr>
          <w:rFonts w:eastAsia="Calibri"/>
          <w:sz w:val="22"/>
          <w:szCs w:val="22"/>
          <w:lang w:eastAsia="en-US"/>
        </w:rPr>
      </w:pPr>
      <w:r w:rsidRPr="00E53B0C">
        <w:rPr>
          <w:rFonts w:eastAsia="Calibri"/>
          <w:sz w:val="22"/>
          <w:szCs w:val="22"/>
        </w:rPr>
        <w:t>V prípade, ak Objednávateľ zmarí plnenie predmetu plnenia podľa článku I. tejto Zmluvy, zaväzuje sa zaplatiť Dodávateľovi náhradu spočívajúcu v ušlom zisku vo výške 70 % hodnoty dovtedy nevyfakturovaných prác. Za zmarenie predmetu plnenia sa  považuje prípad, kedy Dodávateľ odstúpi od Zmluvy v dôsledku nečinnosti Objednávateľa s plnením povinností podľa tejto Zmluvy, pokiaľ Dodávateľ Objednávateľa písomne upozorní na neplnenie zmluvných povinností (nečinnosť) a poskytne mu primeranú lehotu (najmenej 5 pracovných dní) na odstránenie nedostatkov.</w:t>
      </w:r>
    </w:p>
    <w:p w:rsidR="009B1312" w:rsidRDefault="009B1312" w:rsidP="009B1312">
      <w:pPr>
        <w:pStyle w:val="Odsekzoznamu"/>
        <w:rPr>
          <w:rFonts w:eastAsia="Calibri"/>
          <w:sz w:val="22"/>
          <w:szCs w:val="22"/>
        </w:rPr>
      </w:pPr>
    </w:p>
    <w:p w:rsidR="009B1312" w:rsidRPr="00E53B0C" w:rsidRDefault="009B1312" w:rsidP="009B1312">
      <w:pPr>
        <w:numPr>
          <w:ilvl w:val="1"/>
          <w:numId w:val="12"/>
        </w:numPr>
        <w:spacing w:after="200" w:line="276" w:lineRule="auto"/>
        <w:ind w:left="567" w:hanging="567"/>
        <w:contextualSpacing/>
        <w:jc w:val="both"/>
        <w:rPr>
          <w:rFonts w:eastAsia="Calibri"/>
          <w:sz w:val="22"/>
          <w:szCs w:val="22"/>
          <w:lang w:eastAsia="en-US"/>
        </w:rPr>
      </w:pPr>
      <w:r w:rsidRPr="00E53B0C">
        <w:rPr>
          <w:rFonts w:eastAsia="Calibri"/>
          <w:sz w:val="22"/>
          <w:szCs w:val="22"/>
        </w:rPr>
        <w:t>V prípade omeškania Objednávateľa s úhradou vystavených faktúr je Dodávateľ oprávnený účtovať zmluvnú pokutu vo výške 0,05 % z dlžnej sumy za každý deň omeškania. V prípade omeškania Objednávateľa s úhradou vystavenej faktúry, je Dodávateľ oprávnený prerušiť plnenie svojich zmluvných povinností až do úhrady vystavenej faktúry a súčasne neplynú lehoty Dodávateľa na plnenie vlastných zmluvných povinností.</w:t>
      </w:r>
    </w:p>
    <w:p w:rsidR="009B1312" w:rsidRPr="00002CA1" w:rsidRDefault="009B1312" w:rsidP="009B1312">
      <w:pPr>
        <w:spacing w:line="276" w:lineRule="auto"/>
        <w:jc w:val="both"/>
        <w:rPr>
          <w:rFonts w:eastAsia="Book Antiqua"/>
          <w:b/>
          <w:sz w:val="22"/>
          <w:szCs w:val="22"/>
          <w:lang w:eastAsia="en-US"/>
        </w:rPr>
      </w:pPr>
    </w:p>
    <w:p w:rsidR="009B1312" w:rsidRDefault="009B1312" w:rsidP="009B1312">
      <w:pPr>
        <w:spacing w:line="276" w:lineRule="auto"/>
        <w:jc w:val="center"/>
        <w:rPr>
          <w:rFonts w:eastAsia="Book Antiqua"/>
          <w:b/>
          <w:sz w:val="22"/>
          <w:szCs w:val="22"/>
          <w:lang w:eastAsia="en-US"/>
        </w:rPr>
      </w:pPr>
      <w:r w:rsidRPr="00002CA1">
        <w:rPr>
          <w:rFonts w:eastAsia="Book Antiqua"/>
          <w:b/>
          <w:sz w:val="22"/>
          <w:szCs w:val="22"/>
          <w:lang w:eastAsia="en-US"/>
        </w:rPr>
        <w:t>Článok V</w:t>
      </w:r>
      <w:r>
        <w:rPr>
          <w:rFonts w:eastAsia="Book Antiqua"/>
          <w:b/>
          <w:sz w:val="22"/>
          <w:szCs w:val="22"/>
          <w:lang w:eastAsia="en-US"/>
        </w:rPr>
        <w:t>I</w:t>
      </w:r>
      <w:r w:rsidRPr="00002CA1">
        <w:rPr>
          <w:rFonts w:eastAsia="Book Antiqua"/>
          <w:b/>
          <w:sz w:val="22"/>
          <w:szCs w:val="22"/>
          <w:lang w:eastAsia="en-US"/>
        </w:rPr>
        <w:t>I.</w:t>
      </w:r>
    </w:p>
    <w:p w:rsidR="009B1312" w:rsidRPr="006A65B9" w:rsidRDefault="009B1312" w:rsidP="009B1312">
      <w:pPr>
        <w:spacing w:line="276" w:lineRule="auto"/>
        <w:jc w:val="center"/>
        <w:rPr>
          <w:rFonts w:eastAsia="Book Antiqua"/>
          <w:b/>
          <w:sz w:val="22"/>
          <w:szCs w:val="22"/>
          <w:lang w:eastAsia="en-US"/>
        </w:rPr>
      </w:pPr>
      <w:r w:rsidRPr="00002CA1">
        <w:rPr>
          <w:b/>
          <w:caps/>
          <w:sz w:val="22"/>
          <w:szCs w:val="22"/>
          <w:lang w:eastAsia="cs-CZ"/>
        </w:rPr>
        <w:t>Dôvernosť informáciÍ</w:t>
      </w:r>
    </w:p>
    <w:p w:rsidR="009B1312" w:rsidRPr="00002CA1" w:rsidRDefault="009B1312" w:rsidP="009B1312">
      <w:pPr>
        <w:spacing w:line="276" w:lineRule="auto"/>
        <w:rPr>
          <w:rFonts w:eastAsia="Calibri"/>
          <w:sz w:val="22"/>
          <w:szCs w:val="22"/>
          <w:lang w:eastAsia="cs-CZ"/>
        </w:rPr>
      </w:pPr>
    </w:p>
    <w:p w:rsidR="009B1312" w:rsidRDefault="009B1312" w:rsidP="009B1312">
      <w:pPr>
        <w:spacing w:after="200" w:line="276" w:lineRule="auto"/>
        <w:ind w:left="567" w:hanging="567"/>
        <w:jc w:val="both"/>
        <w:rPr>
          <w:sz w:val="22"/>
          <w:szCs w:val="22"/>
          <w:lang w:eastAsia="cs-CZ"/>
        </w:rPr>
      </w:pPr>
      <w:r>
        <w:rPr>
          <w:sz w:val="22"/>
          <w:szCs w:val="22"/>
          <w:lang w:eastAsia="cs-CZ"/>
        </w:rPr>
        <w:t xml:space="preserve">7.1    </w:t>
      </w:r>
      <w:r w:rsidRPr="00002CA1">
        <w:rPr>
          <w:sz w:val="22"/>
          <w:szCs w:val="22"/>
          <w:lang w:eastAsia="cs-CZ"/>
        </w:rPr>
        <w:t xml:space="preserve">Dodávateľ je povinný zachovávať mlčanlivosť voči tretím stranám o všetkých skutočnostiach týkajúcich sa Objednávateľa, s ktorými sa v rámci predmetu plnenia tejto Zmluvy zoznámi. Akékoľvek podklady, ktoré Dodávateľ k svojej práci </w:t>
      </w:r>
      <w:proofErr w:type="spellStart"/>
      <w:r w:rsidRPr="00002CA1">
        <w:rPr>
          <w:sz w:val="22"/>
          <w:szCs w:val="22"/>
          <w:lang w:eastAsia="cs-CZ"/>
        </w:rPr>
        <w:t>obdrží</w:t>
      </w:r>
      <w:proofErr w:type="spellEnd"/>
      <w:r w:rsidRPr="00002CA1">
        <w:rPr>
          <w:sz w:val="22"/>
          <w:szCs w:val="22"/>
          <w:lang w:eastAsia="cs-CZ"/>
        </w:rPr>
        <w:t xml:space="preserve"> od Objednávateľa, nesmú byť bez súhlasu oprávneného zástupcu Objednávateľa kopírované, ani poskytované tretím stranám.</w:t>
      </w:r>
    </w:p>
    <w:p w:rsidR="009B1312" w:rsidRDefault="009B1312" w:rsidP="009B1312">
      <w:pPr>
        <w:numPr>
          <w:ilvl w:val="1"/>
          <w:numId w:val="13"/>
        </w:numPr>
        <w:spacing w:after="200" w:line="276" w:lineRule="auto"/>
        <w:ind w:left="567" w:hanging="567"/>
        <w:jc w:val="both"/>
        <w:rPr>
          <w:sz w:val="22"/>
          <w:szCs w:val="22"/>
          <w:lang w:eastAsia="cs-CZ"/>
        </w:rPr>
      </w:pPr>
      <w:r w:rsidRPr="00002CA1">
        <w:rPr>
          <w:sz w:val="22"/>
          <w:szCs w:val="22"/>
          <w:lang w:eastAsia="cs-CZ"/>
        </w:rPr>
        <w:t>Nehmotné výsledky plnenia tejto Zmluvy, ktoré poskytne Dodávateľ Objednávateľovi, bude tento využívať iba pre vlastnú potrebu, prípadne pre potrebu svojho právneho nástupcu. Pre ich použitie na iné účely je potrebný písomný súhlas Dodávateľa. Objednávateľ sa zaväzuje vykonať všetky dostupné opatrenia, aby nedošlo ku kopírovaniu, rozširovaniu, sprístupňovaniu alebo inému konaniu, na základe ktorého by tretia osoba získala výsledky plnenia tejto Zmluvy a tieto využila resp. mohla využiť pre svoje potreby alebo potreby iných osôb. Uvedené sa nevzťahuje na osoby, ktorým sa výsledky plnenia tejto Zmluvy sprístupnia za účelom naplnenia tejto Zmluvy (napr. Certifikačnej spoločnosti).</w:t>
      </w:r>
    </w:p>
    <w:p w:rsidR="009B1312" w:rsidRDefault="009B1312" w:rsidP="009B1312">
      <w:pPr>
        <w:numPr>
          <w:ilvl w:val="1"/>
          <w:numId w:val="13"/>
        </w:numPr>
        <w:spacing w:after="200" w:line="276" w:lineRule="auto"/>
        <w:ind w:left="567" w:hanging="567"/>
        <w:jc w:val="both"/>
        <w:rPr>
          <w:sz w:val="22"/>
          <w:szCs w:val="22"/>
          <w:lang w:eastAsia="cs-CZ"/>
        </w:rPr>
      </w:pPr>
      <w:r w:rsidRPr="00002CA1">
        <w:rPr>
          <w:sz w:val="22"/>
          <w:szCs w:val="22"/>
          <w:lang w:eastAsia="cs-CZ"/>
        </w:rPr>
        <w:t>Všetky poznatky, dokumenty (v tlačenej a elektronickej forme), počítačové programy, ktoré vzniknú počas realizácie predmetu Zmluvy a ktoré nebudú jej predmetom, sú duševným majetkom vlastníctva Dodávateľa, pričom pre účely pri nakladaní s nimi je nutné sa riadiť bodom 6.2 tohto článku.</w:t>
      </w:r>
    </w:p>
    <w:p w:rsidR="009B1312" w:rsidRPr="00E53B0C" w:rsidRDefault="009B1312" w:rsidP="009B1312">
      <w:pPr>
        <w:numPr>
          <w:ilvl w:val="1"/>
          <w:numId w:val="13"/>
        </w:numPr>
        <w:spacing w:after="200" w:line="276" w:lineRule="auto"/>
        <w:ind w:left="567" w:hanging="567"/>
        <w:jc w:val="both"/>
        <w:rPr>
          <w:sz w:val="22"/>
          <w:szCs w:val="22"/>
          <w:lang w:eastAsia="cs-CZ"/>
        </w:rPr>
      </w:pPr>
      <w:r w:rsidRPr="00E53B0C">
        <w:rPr>
          <w:sz w:val="22"/>
          <w:szCs w:val="22"/>
          <w:lang w:eastAsia="cs-CZ"/>
        </w:rPr>
        <w:t>Pri nedodržaní ustan</w:t>
      </w:r>
      <w:r>
        <w:rPr>
          <w:sz w:val="22"/>
          <w:szCs w:val="22"/>
          <w:lang w:eastAsia="cs-CZ"/>
        </w:rPr>
        <w:t>ovení bodu 7.2 a 7</w:t>
      </w:r>
      <w:r w:rsidRPr="00E53B0C">
        <w:rPr>
          <w:sz w:val="22"/>
          <w:szCs w:val="22"/>
          <w:lang w:eastAsia="cs-CZ"/>
        </w:rPr>
        <w:t>.3 Objednávateľ zaplatí Dodávateľovi zmluvnú pokutu vo výške 90 % z celkovej odmeny Dodávateľa, ktorú je povinný zaplatiť Dodávateľovi do 30 dní od zistenia skutočnosti a doručenia výzvy na jej úhradu.</w:t>
      </w:r>
    </w:p>
    <w:p w:rsidR="009B1312" w:rsidRPr="00002CA1" w:rsidRDefault="009B1312" w:rsidP="009B1312">
      <w:pPr>
        <w:spacing w:line="276" w:lineRule="auto"/>
        <w:jc w:val="both"/>
        <w:rPr>
          <w:sz w:val="22"/>
          <w:szCs w:val="22"/>
          <w:lang w:eastAsia="cs-CZ"/>
        </w:rPr>
      </w:pPr>
    </w:p>
    <w:p w:rsidR="009B1312" w:rsidRDefault="009B1312" w:rsidP="009B1312">
      <w:pPr>
        <w:spacing w:line="276" w:lineRule="auto"/>
        <w:jc w:val="center"/>
        <w:rPr>
          <w:b/>
          <w:sz w:val="22"/>
          <w:szCs w:val="22"/>
          <w:lang w:eastAsia="cs-CZ"/>
        </w:rPr>
      </w:pPr>
      <w:r w:rsidRPr="00002CA1">
        <w:rPr>
          <w:b/>
          <w:sz w:val="22"/>
          <w:szCs w:val="22"/>
          <w:lang w:eastAsia="cs-CZ"/>
        </w:rPr>
        <w:t>Článok VI</w:t>
      </w:r>
      <w:r>
        <w:rPr>
          <w:b/>
          <w:sz w:val="22"/>
          <w:szCs w:val="22"/>
          <w:lang w:eastAsia="cs-CZ"/>
        </w:rPr>
        <w:t>I</w:t>
      </w:r>
      <w:r w:rsidRPr="00002CA1">
        <w:rPr>
          <w:b/>
          <w:sz w:val="22"/>
          <w:szCs w:val="22"/>
          <w:lang w:eastAsia="cs-CZ"/>
        </w:rPr>
        <w:t>I.</w:t>
      </w:r>
    </w:p>
    <w:p w:rsidR="009B1312" w:rsidRPr="0076058D" w:rsidRDefault="009B1312" w:rsidP="009B1312">
      <w:pPr>
        <w:spacing w:line="276" w:lineRule="auto"/>
        <w:jc w:val="center"/>
        <w:rPr>
          <w:b/>
          <w:sz w:val="22"/>
          <w:szCs w:val="22"/>
          <w:lang w:eastAsia="cs-CZ"/>
        </w:rPr>
      </w:pPr>
      <w:r w:rsidRPr="00002CA1">
        <w:rPr>
          <w:b/>
          <w:caps/>
          <w:sz w:val="22"/>
          <w:szCs w:val="22"/>
          <w:lang w:eastAsia="cs-CZ"/>
        </w:rPr>
        <w:t>ZÁNIK ZMLUVY</w:t>
      </w:r>
    </w:p>
    <w:p w:rsidR="009B1312" w:rsidRPr="00002CA1" w:rsidRDefault="009B1312" w:rsidP="009B1312">
      <w:pPr>
        <w:spacing w:line="276" w:lineRule="auto"/>
        <w:rPr>
          <w:rFonts w:eastAsia="Calibri"/>
          <w:sz w:val="22"/>
          <w:szCs w:val="22"/>
          <w:lang w:eastAsia="cs-CZ"/>
        </w:rPr>
      </w:pPr>
    </w:p>
    <w:p w:rsidR="009B1312" w:rsidRPr="0076058D" w:rsidRDefault="009B1312" w:rsidP="009B1312">
      <w:pPr>
        <w:numPr>
          <w:ilvl w:val="1"/>
          <w:numId w:val="14"/>
        </w:numPr>
        <w:spacing w:after="200" w:line="276" w:lineRule="auto"/>
        <w:jc w:val="both"/>
        <w:rPr>
          <w:sz w:val="22"/>
          <w:szCs w:val="22"/>
          <w:lang w:eastAsia="cs-CZ"/>
        </w:rPr>
      </w:pPr>
      <w:r>
        <w:rPr>
          <w:sz w:val="22"/>
          <w:szCs w:val="22"/>
          <w:lang w:eastAsia="cs-CZ"/>
        </w:rPr>
        <w:t xml:space="preserve">    </w:t>
      </w:r>
      <w:r w:rsidRPr="00002CA1">
        <w:rPr>
          <w:sz w:val="22"/>
          <w:szCs w:val="22"/>
          <w:lang w:eastAsia="cs-CZ"/>
        </w:rPr>
        <w:t>Zmluva môže byť ukončená písomnou dohodou oboch Zmluvných strán.</w:t>
      </w:r>
    </w:p>
    <w:p w:rsidR="009B1312" w:rsidRDefault="009B1312" w:rsidP="009B1312">
      <w:pPr>
        <w:numPr>
          <w:ilvl w:val="1"/>
          <w:numId w:val="14"/>
        </w:numPr>
        <w:spacing w:after="200" w:line="276" w:lineRule="auto"/>
        <w:ind w:left="567" w:hanging="567"/>
        <w:jc w:val="both"/>
        <w:rPr>
          <w:sz w:val="22"/>
          <w:szCs w:val="22"/>
          <w:lang w:eastAsia="cs-CZ"/>
        </w:rPr>
      </w:pPr>
      <w:r w:rsidRPr="00002CA1">
        <w:rPr>
          <w:sz w:val="22"/>
          <w:szCs w:val="22"/>
          <w:lang w:eastAsia="cs-CZ"/>
        </w:rPr>
        <w:t>Každá zo Zmluvných strán má právo v prípade podstatného porušenia tejto Zmluvy druhou stranou od Zmluvy písomne odstúpiť.</w:t>
      </w:r>
    </w:p>
    <w:p w:rsidR="009B1312" w:rsidRPr="00E53B0C" w:rsidRDefault="009B1312" w:rsidP="009B1312">
      <w:pPr>
        <w:numPr>
          <w:ilvl w:val="1"/>
          <w:numId w:val="14"/>
        </w:numPr>
        <w:spacing w:after="120" w:line="276" w:lineRule="auto"/>
        <w:ind w:left="567" w:hanging="567"/>
        <w:jc w:val="both"/>
        <w:rPr>
          <w:sz w:val="22"/>
          <w:szCs w:val="22"/>
          <w:lang w:eastAsia="cs-CZ"/>
        </w:rPr>
      </w:pPr>
      <w:r w:rsidRPr="00E53B0C">
        <w:rPr>
          <w:sz w:val="22"/>
          <w:szCs w:val="22"/>
          <w:lang w:eastAsia="cs-CZ"/>
        </w:rPr>
        <w:t>Zmluvné strany sa dohodli, že za podstatné porušenie Zmluvy považujú:</w:t>
      </w:r>
    </w:p>
    <w:p w:rsidR="009B1312" w:rsidRPr="00002CA1" w:rsidRDefault="009B1312" w:rsidP="009B1312">
      <w:pPr>
        <w:numPr>
          <w:ilvl w:val="0"/>
          <w:numId w:val="7"/>
        </w:numPr>
        <w:tabs>
          <w:tab w:val="clear" w:pos="1440"/>
        </w:tabs>
        <w:spacing w:line="276" w:lineRule="auto"/>
        <w:ind w:left="992" w:hanging="425"/>
        <w:jc w:val="both"/>
        <w:rPr>
          <w:sz w:val="22"/>
          <w:szCs w:val="22"/>
          <w:lang w:eastAsia="cs-CZ"/>
        </w:rPr>
      </w:pPr>
      <w:r w:rsidRPr="00002CA1">
        <w:rPr>
          <w:sz w:val="22"/>
          <w:szCs w:val="22"/>
          <w:lang w:eastAsia="cs-CZ"/>
        </w:rPr>
        <w:t>opakované nedodržanie dohodnutých termínov realizácie predmetu Zmluvy zo strany Objednávateľa (zmarenie predmetu plnenia) alebo Dodávateľa,</w:t>
      </w:r>
    </w:p>
    <w:p w:rsidR="009B1312" w:rsidRPr="00002CA1" w:rsidRDefault="009B1312" w:rsidP="009B1312">
      <w:pPr>
        <w:numPr>
          <w:ilvl w:val="0"/>
          <w:numId w:val="7"/>
        </w:numPr>
        <w:tabs>
          <w:tab w:val="clear" w:pos="1440"/>
          <w:tab w:val="left" w:pos="567"/>
        </w:tabs>
        <w:spacing w:line="276" w:lineRule="auto"/>
        <w:ind w:left="992" w:hanging="425"/>
        <w:jc w:val="both"/>
        <w:rPr>
          <w:sz w:val="22"/>
          <w:szCs w:val="22"/>
          <w:lang w:eastAsia="cs-CZ"/>
        </w:rPr>
      </w:pPr>
      <w:r w:rsidRPr="00002CA1">
        <w:rPr>
          <w:sz w:val="22"/>
          <w:szCs w:val="22"/>
          <w:lang w:eastAsia="cs-CZ"/>
        </w:rPr>
        <w:t>nedodržanie termínu splatnosti vystavených faktúr,</w:t>
      </w:r>
    </w:p>
    <w:p w:rsidR="009B1312" w:rsidRPr="00002CA1" w:rsidRDefault="009B1312" w:rsidP="009B1312">
      <w:pPr>
        <w:numPr>
          <w:ilvl w:val="0"/>
          <w:numId w:val="7"/>
        </w:numPr>
        <w:tabs>
          <w:tab w:val="clear" w:pos="1440"/>
          <w:tab w:val="left" w:pos="567"/>
        </w:tabs>
        <w:spacing w:line="276" w:lineRule="auto"/>
        <w:ind w:left="992" w:hanging="425"/>
        <w:jc w:val="both"/>
        <w:rPr>
          <w:sz w:val="22"/>
          <w:szCs w:val="22"/>
          <w:lang w:eastAsia="cs-CZ"/>
        </w:rPr>
      </w:pPr>
      <w:r w:rsidRPr="00002CA1">
        <w:rPr>
          <w:sz w:val="22"/>
          <w:szCs w:val="22"/>
          <w:lang w:eastAsia="cs-CZ"/>
        </w:rPr>
        <w:t>neposkytnutie súčinnosti zo strany Objednávateľa v zmysle tejto Zmluvy.</w:t>
      </w:r>
    </w:p>
    <w:p w:rsidR="009B1312" w:rsidRDefault="009B1312" w:rsidP="009B1312">
      <w:pPr>
        <w:spacing w:after="200" w:line="276" w:lineRule="auto"/>
        <w:jc w:val="both"/>
        <w:rPr>
          <w:sz w:val="22"/>
          <w:szCs w:val="22"/>
          <w:lang w:eastAsia="cs-CZ"/>
        </w:rPr>
      </w:pPr>
    </w:p>
    <w:p w:rsidR="009B1312" w:rsidRDefault="009B1312" w:rsidP="009B1312">
      <w:pPr>
        <w:numPr>
          <w:ilvl w:val="1"/>
          <w:numId w:val="14"/>
        </w:numPr>
        <w:spacing w:after="200" w:line="276" w:lineRule="auto"/>
        <w:ind w:left="567" w:hanging="567"/>
        <w:jc w:val="both"/>
        <w:rPr>
          <w:sz w:val="22"/>
          <w:szCs w:val="22"/>
          <w:lang w:eastAsia="cs-CZ"/>
        </w:rPr>
      </w:pPr>
      <w:r w:rsidRPr="00002CA1">
        <w:rPr>
          <w:sz w:val="22"/>
          <w:szCs w:val="22"/>
          <w:lang w:eastAsia="cs-CZ"/>
        </w:rPr>
        <w:t>Dodávateľ má právo odstúpiť od Zmluvy v prípade, že Objednávateľ vstúpi do likvidácie, resp. je na jeho majetok vyhlásený konkurz.</w:t>
      </w:r>
    </w:p>
    <w:p w:rsidR="009B1312" w:rsidRDefault="009B1312" w:rsidP="009B1312">
      <w:pPr>
        <w:numPr>
          <w:ilvl w:val="1"/>
          <w:numId w:val="14"/>
        </w:numPr>
        <w:spacing w:after="200" w:line="276" w:lineRule="auto"/>
        <w:ind w:left="567" w:hanging="567"/>
        <w:jc w:val="both"/>
        <w:rPr>
          <w:sz w:val="22"/>
          <w:szCs w:val="22"/>
          <w:lang w:eastAsia="cs-CZ"/>
        </w:rPr>
      </w:pPr>
      <w:r w:rsidRPr="00E53B0C">
        <w:rPr>
          <w:sz w:val="22"/>
          <w:szCs w:val="22"/>
          <w:lang w:eastAsia="cs-CZ"/>
        </w:rPr>
        <w:t>V prípade odstúpenia od Zmluvy niektorou zo Zmluvných strán, sa Objednávateľ zaväzuje uhradiť Dodávateľovi práce, ktoré boli realizované ku dňu doručenia písomného oznámenia o odstúpení od zmluvy druhej Zmluvnej strany. Vykonané práce Objednávateľ uhradí na základe vystavenej faktúry.</w:t>
      </w:r>
    </w:p>
    <w:p w:rsidR="009B1312" w:rsidRPr="00E53B0C" w:rsidRDefault="009B1312" w:rsidP="009B1312">
      <w:pPr>
        <w:numPr>
          <w:ilvl w:val="1"/>
          <w:numId w:val="14"/>
        </w:numPr>
        <w:spacing w:after="200" w:line="276" w:lineRule="auto"/>
        <w:ind w:left="567" w:hanging="567"/>
        <w:jc w:val="both"/>
        <w:rPr>
          <w:sz w:val="22"/>
          <w:szCs w:val="22"/>
          <w:lang w:eastAsia="cs-CZ"/>
        </w:rPr>
      </w:pPr>
      <w:r w:rsidRPr="00E53B0C">
        <w:rPr>
          <w:sz w:val="22"/>
          <w:szCs w:val="22"/>
          <w:lang w:eastAsia="cs-CZ"/>
        </w:rPr>
        <w:t>Za deň, kedy niektorá zo Zmluvných strán odstúpila od Zmluvy, sa považuje deň, kedy bolo druhej Zmluvnej strane doručené odôvodnené písomné oznámenie o odstúpení od zmluvy.</w:t>
      </w:r>
    </w:p>
    <w:p w:rsidR="009B1312" w:rsidRPr="00002CA1" w:rsidRDefault="009B1312" w:rsidP="009B1312">
      <w:pPr>
        <w:spacing w:line="276" w:lineRule="auto"/>
        <w:jc w:val="both"/>
        <w:rPr>
          <w:b/>
          <w:sz w:val="22"/>
          <w:szCs w:val="22"/>
          <w:lang w:eastAsia="cs-CZ"/>
        </w:rPr>
      </w:pPr>
    </w:p>
    <w:p w:rsidR="009B1312" w:rsidRPr="00002CA1" w:rsidRDefault="009B1312" w:rsidP="009B1312">
      <w:pPr>
        <w:spacing w:line="276" w:lineRule="auto"/>
        <w:jc w:val="center"/>
        <w:rPr>
          <w:b/>
          <w:sz w:val="22"/>
          <w:szCs w:val="22"/>
          <w:lang w:eastAsia="cs-CZ"/>
        </w:rPr>
      </w:pPr>
      <w:r>
        <w:rPr>
          <w:b/>
          <w:sz w:val="22"/>
          <w:szCs w:val="22"/>
          <w:lang w:eastAsia="cs-CZ"/>
        </w:rPr>
        <w:t>Článok IX</w:t>
      </w:r>
      <w:r w:rsidRPr="00002CA1">
        <w:rPr>
          <w:b/>
          <w:sz w:val="22"/>
          <w:szCs w:val="22"/>
          <w:lang w:eastAsia="cs-CZ"/>
        </w:rPr>
        <w:t>.</w:t>
      </w:r>
    </w:p>
    <w:p w:rsidR="009B1312" w:rsidRPr="00002CA1" w:rsidRDefault="009B1312" w:rsidP="009B1312">
      <w:pPr>
        <w:spacing w:line="276" w:lineRule="auto"/>
        <w:jc w:val="center"/>
        <w:rPr>
          <w:rFonts w:eastAsia="Calibri"/>
          <w:b/>
          <w:bCs/>
          <w:sz w:val="22"/>
          <w:szCs w:val="22"/>
          <w:lang w:eastAsia="en-US"/>
        </w:rPr>
      </w:pPr>
      <w:r w:rsidRPr="00002CA1">
        <w:rPr>
          <w:rFonts w:eastAsia="Calibri"/>
          <w:b/>
          <w:bCs/>
          <w:sz w:val="22"/>
          <w:szCs w:val="22"/>
          <w:lang w:eastAsia="en-US"/>
        </w:rPr>
        <w:t>ZÁVERČNÉ USTANOVENIA</w:t>
      </w:r>
    </w:p>
    <w:p w:rsidR="009B1312" w:rsidRPr="00002CA1" w:rsidRDefault="009B1312" w:rsidP="009B1312">
      <w:pPr>
        <w:spacing w:line="276" w:lineRule="auto"/>
        <w:rPr>
          <w:rFonts w:eastAsia="Calibri"/>
          <w:b/>
          <w:bCs/>
          <w:sz w:val="22"/>
          <w:szCs w:val="22"/>
          <w:lang w:eastAsia="en-US"/>
        </w:rPr>
      </w:pPr>
    </w:p>
    <w:p w:rsidR="009B1312" w:rsidRDefault="009B1312" w:rsidP="009B1312">
      <w:pPr>
        <w:numPr>
          <w:ilvl w:val="1"/>
          <w:numId w:val="15"/>
        </w:numPr>
        <w:suppressAutoHyphens/>
        <w:spacing w:after="200" w:line="276" w:lineRule="auto"/>
        <w:ind w:left="567" w:hanging="567"/>
        <w:jc w:val="both"/>
        <w:rPr>
          <w:rFonts w:eastAsia="Calibri"/>
          <w:sz w:val="22"/>
          <w:szCs w:val="22"/>
          <w:lang w:eastAsia="en-US"/>
        </w:rPr>
      </w:pPr>
      <w:r w:rsidRPr="00002CA1">
        <w:rPr>
          <w:rFonts w:eastAsia="Calibri"/>
          <w:sz w:val="22"/>
          <w:szCs w:val="22"/>
          <w:lang w:eastAsia="en-US"/>
        </w:rPr>
        <w:t>Táto Zmluva nadobúda platnosť a účinnosť dňom jej podpísania oboma Zmluvnými stranami</w:t>
      </w:r>
      <w:r w:rsidRPr="003A396C">
        <w:rPr>
          <w:sz w:val="24"/>
          <w:szCs w:val="24"/>
        </w:rPr>
        <w:t xml:space="preserve"> </w:t>
      </w:r>
      <w:proofErr w:type="spellStart"/>
      <w:r w:rsidRPr="003A396C">
        <w:rPr>
          <w:rFonts w:eastAsia="Calibri"/>
          <w:sz w:val="22"/>
          <w:szCs w:val="22"/>
          <w:lang w:eastAsia="en-US"/>
        </w:rPr>
        <w:t>stranami</w:t>
      </w:r>
      <w:proofErr w:type="spellEnd"/>
      <w:r w:rsidRPr="003A396C">
        <w:rPr>
          <w:rFonts w:eastAsia="Calibri"/>
          <w:sz w:val="22"/>
          <w:szCs w:val="22"/>
          <w:lang w:eastAsia="en-US"/>
        </w:rPr>
        <w:t xml:space="preserve"> a zároveň akceptovaním výsledkov verejného obstarávania zo strany poskytovateľa pomoci (Ministerstvo hospodárstva Slovenskej republiky ako sprostredkovateľský orgán pre operačný program Výskum a inovácie (ďalej len „SO“ alebo ,,MH SR“) konajúci v zastúpení Ministerstva školstva, vedy, výskumu a športu Slovenskej republiky ako riadiaceho orgánu pre operačný program Výskum a inovácie. Ministerstvo hospodárstva koná v rámci tejto výzvy aj prostredníctvom Slovenskej inovačnej a energetickej agentúry, ďalej len ,,SIEA“) bez </w:t>
      </w:r>
      <w:proofErr w:type="spellStart"/>
      <w:r w:rsidRPr="003A396C">
        <w:rPr>
          <w:rFonts w:eastAsia="Calibri"/>
          <w:sz w:val="22"/>
          <w:szCs w:val="22"/>
          <w:lang w:eastAsia="en-US"/>
        </w:rPr>
        <w:t>závad</w:t>
      </w:r>
      <w:proofErr w:type="spellEnd"/>
      <w:r w:rsidRPr="003A396C">
        <w:rPr>
          <w:rFonts w:eastAsia="Calibri"/>
          <w:sz w:val="22"/>
          <w:szCs w:val="22"/>
          <w:lang w:eastAsia="en-US"/>
        </w:rPr>
        <w:t xml:space="preserve"> (administratívna kontrola postupov verejného obstarávania) v súlade so zmluvou o poskytnutí nenávratného finančného príspevku. </w:t>
      </w:r>
    </w:p>
    <w:p w:rsidR="009B1312" w:rsidRDefault="009B1312" w:rsidP="009B1312">
      <w:pPr>
        <w:numPr>
          <w:ilvl w:val="1"/>
          <w:numId w:val="15"/>
        </w:numPr>
        <w:suppressAutoHyphens/>
        <w:spacing w:after="200" w:line="276" w:lineRule="auto"/>
        <w:ind w:left="567" w:hanging="567"/>
        <w:jc w:val="both"/>
        <w:rPr>
          <w:rFonts w:eastAsia="Calibri"/>
          <w:sz w:val="22"/>
          <w:szCs w:val="22"/>
          <w:lang w:eastAsia="en-US"/>
        </w:rPr>
      </w:pPr>
      <w:r w:rsidRPr="00EF6EB4">
        <w:rPr>
          <w:rFonts w:eastAsia="Calibri"/>
          <w:sz w:val="22"/>
          <w:szCs w:val="22"/>
          <w:lang w:eastAsia="en-US"/>
        </w:rPr>
        <w:t xml:space="preserve">Objednávateľ sa zaväzuje bezodkladne informovať Dodávateľa o výsledkoch administratívnej kontroly postupov verejného obstarávania. Nevyhnutným predpokladom výkonu kontroly postupov verejného obstarávania zo strany poskytovateľa prostriedkov, z ktorých je financovaná zákazka, je platná a účinná zmluva o poskytnutí nenávratného finančného príspevku medzi príslušným poskytovateľom pomoci, v ktorého zastúpení koná SIEA, a príjemcom pomoci, ktorým je Objednávateľ, a to na základe jeho </w:t>
      </w:r>
      <w:proofErr w:type="spellStart"/>
      <w:r w:rsidRPr="00EF6EB4">
        <w:rPr>
          <w:rFonts w:eastAsia="Calibri"/>
          <w:sz w:val="22"/>
          <w:szCs w:val="22"/>
          <w:lang w:eastAsia="en-US"/>
        </w:rPr>
        <w:t>ŽoNFP</w:t>
      </w:r>
      <w:proofErr w:type="spellEnd"/>
      <w:r w:rsidRPr="00EF6EB4">
        <w:rPr>
          <w:rFonts w:eastAsia="Calibri"/>
          <w:sz w:val="22"/>
          <w:szCs w:val="22"/>
          <w:lang w:eastAsia="en-US"/>
        </w:rPr>
        <w:t xml:space="preserve"> predloženej v rámci výzvy na predkladanie </w:t>
      </w:r>
      <w:proofErr w:type="spellStart"/>
      <w:r w:rsidRPr="00EF6EB4">
        <w:rPr>
          <w:rFonts w:eastAsia="Calibri"/>
          <w:sz w:val="22"/>
          <w:szCs w:val="22"/>
          <w:lang w:eastAsia="en-US"/>
        </w:rPr>
        <w:t>ŽoNFP</w:t>
      </w:r>
      <w:proofErr w:type="spellEnd"/>
      <w:r w:rsidRPr="00EF6EB4">
        <w:rPr>
          <w:rFonts w:eastAsia="Calibri"/>
          <w:sz w:val="22"/>
          <w:szCs w:val="22"/>
          <w:lang w:eastAsia="en-US"/>
        </w:rPr>
        <w:t xml:space="preserve">, kód </w:t>
      </w:r>
      <w:proofErr w:type="spellStart"/>
      <w:r w:rsidRPr="00EF6EB4">
        <w:rPr>
          <w:rFonts w:eastAsia="Calibri"/>
          <w:sz w:val="22"/>
          <w:szCs w:val="22"/>
          <w:lang w:eastAsia="en-US"/>
        </w:rPr>
        <w:t>OPVaIMH</w:t>
      </w:r>
      <w:proofErr w:type="spellEnd"/>
      <w:r w:rsidRPr="00EF6EB4">
        <w:rPr>
          <w:rFonts w:eastAsia="Calibri"/>
          <w:sz w:val="22"/>
          <w:szCs w:val="22"/>
          <w:lang w:eastAsia="en-US"/>
        </w:rPr>
        <w:t>/ DP/2016/1.2.2-02, ktorá oprávňuje Objednávateľa na realizáciu projektu.</w:t>
      </w:r>
    </w:p>
    <w:p w:rsidR="009B1312" w:rsidRDefault="009B1312" w:rsidP="009B1312">
      <w:pPr>
        <w:numPr>
          <w:ilvl w:val="1"/>
          <w:numId w:val="15"/>
        </w:numPr>
        <w:suppressAutoHyphens/>
        <w:spacing w:after="200" w:line="276" w:lineRule="auto"/>
        <w:ind w:left="567" w:hanging="567"/>
        <w:jc w:val="both"/>
        <w:rPr>
          <w:rFonts w:eastAsia="Calibri"/>
          <w:sz w:val="22"/>
          <w:szCs w:val="22"/>
          <w:lang w:eastAsia="en-US"/>
        </w:rPr>
      </w:pPr>
      <w:r w:rsidRPr="00EF6EB4">
        <w:rPr>
          <w:rFonts w:eastAsia="Calibri"/>
          <w:sz w:val="22"/>
          <w:szCs w:val="22"/>
          <w:lang w:eastAsia="en-US"/>
        </w:rPr>
        <w:lastRenderedPageBreak/>
        <w:t>Túto Zmluvu je možné meniť len písomnými číslovanými dodatkami podpísanými oboma Zmluvnými stranami.</w:t>
      </w:r>
    </w:p>
    <w:p w:rsidR="009B1312" w:rsidRDefault="009B1312" w:rsidP="009B1312">
      <w:pPr>
        <w:numPr>
          <w:ilvl w:val="1"/>
          <w:numId w:val="15"/>
        </w:numPr>
        <w:suppressAutoHyphens/>
        <w:spacing w:after="200" w:line="276" w:lineRule="auto"/>
        <w:ind w:left="567" w:hanging="567"/>
        <w:jc w:val="both"/>
        <w:rPr>
          <w:rFonts w:eastAsia="Calibri"/>
          <w:sz w:val="22"/>
          <w:szCs w:val="22"/>
          <w:lang w:eastAsia="en-US"/>
        </w:rPr>
      </w:pPr>
      <w:r w:rsidRPr="00EF6EB4">
        <w:rPr>
          <w:rFonts w:eastAsia="Calibri"/>
          <w:sz w:val="22"/>
          <w:szCs w:val="22"/>
          <w:lang w:eastAsia="en-US"/>
        </w:rPr>
        <w:t>Vzťahy Zmluvných strán založené Zmluvou, ak ich Zmluva výslovne neupravuje, sa riadia príslušnými ustanoveniami Obchodného zákonníka a ostatných platných právnych predpisov Slovenskej republiky.</w:t>
      </w:r>
    </w:p>
    <w:p w:rsidR="009B1312" w:rsidRDefault="009B1312" w:rsidP="009B1312">
      <w:pPr>
        <w:numPr>
          <w:ilvl w:val="1"/>
          <w:numId w:val="15"/>
        </w:numPr>
        <w:suppressAutoHyphens/>
        <w:spacing w:after="200" w:line="276" w:lineRule="auto"/>
        <w:ind w:left="567" w:hanging="567"/>
        <w:jc w:val="both"/>
        <w:rPr>
          <w:rFonts w:eastAsia="Calibri"/>
          <w:sz w:val="22"/>
          <w:szCs w:val="22"/>
          <w:lang w:eastAsia="en-US"/>
        </w:rPr>
      </w:pPr>
      <w:r w:rsidRPr="00EF6EB4">
        <w:rPr>
          <w:rFonts w:eastAsia="Calibri"/>
          <w:sz w:val="22"/>
          <w:szCs w:val="22"/>
          <w:lang w:eastAsia="en-US"/>
        </w:rPr>
        <w:t>Prípadná neplatnosť niektorej časti Zmluvy nemá vplyv na platnosť a účinnosť ostatných dojednaní. V prípade, že je niektorá časť Zmluvy neplatnou alebo sa neplatnou stane neskôr, použije sa na úpravu vzťahov Zmluvných strán zákonná úprava, ktorá je svojou povahou najbližšia úmyslu, sledovanému stranami pri uzatváraní Zmluvy.</w:t>
      </w:r>
    </w:p>
    <w:p w:rsidR="009B1312" w:rsidRDefault="009B1312" w:rsidP="009B1312">
      <w:pPr>
        <w:numPr>
          <w:ilvl w:val="1"/>
          <w:numId w:val="15"/>
        </w:numPr>
        <w:suppressAutoHyphens/>
        <w:spacing w:after="200" w:line="276" w:lineRule="auto"/>
        <w:ind w:left="567" w:hanging="567"/>
        <w:jc w:val="both"/>
        <w:rPr>
          <w:rFonts w:eastAsia="Calibri"/>
          <w:sz w:val="22"/>
          <w:szCs w:val="22"/>
          <w:lang w:eastAsia="en-US"/>
        </w:rPr>
      </w:pPr>
      <w:r w:rsidRPr="00EF6EB4">
        <w:rPr>
          <w:rFonts w:eastAsia="Calibri"/>
          <w:sz w:val="22"/>
          <w:szCs w:val="22"/>
          <w:lang w:eastAsia="en-US"/>
        </w:rPr>
        <w:t>Táto Zmluva predstavuje jediný a úplný dohovor Zmluvných strán ohľadne predmetu tejto Zmluvy, pričom ako taká v celom rozsahu nahrádza všetky prípadné predchádzajúce ústne aj písomné dohovory Zmluvných strán ohľadne otázok dotýkajúcich sa predmetu tejto Zmluvy.</w:t>
      </w:r>
    </w:p>
    <w:p w:rsidR="009B1312" w:rsidRDefault="009B1312" w:rsidP="009B1312">
      <w:pPr>
        <w:numPr>
          <w:ilvl w:val="1"/>
          <w:numId w:val="15"/>
        </w:numPr>
        <w:suppressAutoHyphens/>
        <w:spacing w:after="200" w:line="276" w:lineRule="auto"/>
        <w:ind w:left="567" w:hanging="567"/>
        <w:jc w:val="both"/>
        <w:rPr>
          <w:rFonts w:eastAsia="Calibri"/>
          <w:sz w:val="22"/>
          <w:szCs w:val="22"/>
          <w:lang w:eastAsia="en-US"/>
        </w:rPr>
      </w:pPr>
      <w:r w:rsidRPr="00EF6EB4">
        <w:rPr>
          <w:rFonts w:eastAsia="Calibri"/>
          <w:sz w:val="22"/>
          <w:szCs w:val="22"/>
          <w:lang w:eastAsia="en-US"/>
        </w:rPr>
        <w:t>Táto Zmluva je vyhotovená v dvoch rovnopisoch, z ktorých každá Zmluvná strana prevezme po jednom rovnopise.</w:t>
      </w:r>
    </w:p>
    <w:p w:rsidR="009B1312" w:rsidRPr="00EF6EB4" w:rsidRDefault="009B1312" w:rsidP="009B1312">
      <w:pPr>
        <w:numPr>
          <w:ilvl w:val="1"/>
          <w:numId w:val="15"/>
        </w:numPr>
        <w:suppressAutoHyphens/>
        <w:spacing w:after="200" w:line="276" w:lineRule="auto"/>
        <w:ind w:left="567" w:hanging="567"/>
        <w:jc w:val="both"/>
        <w:rPr>
          <w:rFonts w:eastAsia="Calibri"/>
          <w:sz w:val="22"/>
          <w:szCs w:val="22"/>
          <w:lang w:eastAsia="en-US"/>
        </w:rPr>
      </w:pPr>
      <w:r w:rsidRPr="00EF6EB4">
        <w:rPr>
          <w:rFonts w:eastAsia="Calibri"/>
          <w:sz w:val="22"/>
          <w:szCs w:val="22"/>
          <w:lang w:eastAsia="en-US"/>
        </w:rPr>
        <w:t>Zmluvné strany prehlasujú, že Zmluvu uzatvorili na základe ich slobodnej vôle, Zmluva nebola uzatvorená v tiesni za nápadne nevýhodných podmienok, zmluvné prejavy sú dostatočne zrozumiteľné, Zmluvu si prečítali, jej obsahu porozumeli a na znak súhlasu ju vlastnoručne podpísali.</w:t>
      </w:r>
    </w:p>
    <w:p w:rsidR="009B1312" w:rsidRPr="00002CA1" w:rsidRDefault="009B1312" w:rsidP="009B1312">
      <w:pPr>
        <w:pBdr>
          <w:top w:val="nil"/>
          <w:left w:val="nil"/>
          <w:bottom w:val="nil"/>
          <w:right w:val="nil"/>
          <w:between w:val="nil"/>
          <w:bar w:val="nil"/>
        </w:pBdr>
        <w:suppressAutoHyphens/>
        <w:spacing w:line="276" w:lineRule="auto"/>
        <w:jc w:val="both"/>
        <w:rPr>
          <w:rFonts w:eastAsia="Calibri"/>
          <w:sz w:val="22"/>
          <w:szCs w:val="22"/>
          <w:lang w:eastAsia="en-US"/>
        </w:rPr>
      </w:pPr>
    </w:p>
    <w:p w:rsidR="009B1312" w:rsidRPr="00002CA1" w:rsidRDefault="009B1312" w:rsidP="009B1312">
      <w:pPr>
        <w:pBdr>
          <w:top w:val="nil"/>
          <w:left w:val="nil"/>
          <w:bottom w:val="nil"/>
          <w:right w:val="nil"/>
          <w:between w:val="nil"/>
          <w:bar w:val="nil"/>
        </w:pBdr>
        <w:suppressAutoHyphens/>
        <w:spacing w:line="276" w:lineRule="auto"/>
        <w:jc w:val="both"/>
        <w:rPr>
          <w:rFonts w:eastAsia="Calibri"/>
          <w:sz w:val="22"/>
          <w:szCs w:val="22"/>
          <w:lang w:eastAsia="en-US"/>
        </w:rPr>
      </w:pPr>
      <w:r w:rsidRPr="00002CA1">
        <w:rPr>
          <w:rFonts w:eastAsia="Calibri"/>
          <w:sz w:val="22"/>
          <w:szCs w:val="22"/>
          <w:lang w:eastAsia="en-US"/>
        </w:rPr>
        <w:t>V Bratislave, dňa    .......................</w:t>
      </w:r>
      <w:r w:rsidRPr="00002CA1">
        <w:rPr>
          <w:rFonts w:eastAsia="Calibri"/>
          <w:sz w:val="22"/>
          <w:szCs w:val="22"/>
          <w:lang w:eastAsia="en-US"/>
        </w:rPr>
        <w:tab/>
      </w:r>
      <w:r w:rsidRPr="00002CA1">
        <w:rPr>
          <w:rFonts w:eastAsia="Calibri"/>
          <w:sz w:val="22"/>
          <w:szCs w:val="22"/>
          <w:lang w:eastAsia="en-US"/>
        </w:rPr>
        <w:tab/>
      </w:r>
      <w:r w:rsidRPr="00002CA1">
        <w:rPr>
          <w:rFonts w:eastAsia="Calibri"/>
          <w:sz w:val="22"/>
          <w:szCs w:val="22"/>
          <w:lang w:eastAsia="en-US"/>
        </w:rPr>
        <w:tab/>
        <w:t>v ........................., dňa    .....................</w:t>
      </w:r>
    </w:p>
    <w:p w:rsidR="009B1312" w:rsidRPr="00002CA1" w:rsidRDefault="009B1312" w:rsidP="009B1312">
      <w:pPr>
        <w:pBdr>
          <w:top w:val="nil"/>
          <w:left w:val="nil"/>
          <w:bottom w:val="nil"/>
          <w:right w:val="nil"/>
          <w:between w:val="nil"/>
          <w:bar w:val="nil"/>
        </w:pBdr>
        <w:suppressAutoHyphens/>
        <w:spacing w:line="276" w:lineRule="auto"/>
        <w:jc w:val="both"/>
        <w:rPr>
          <w:rFonts w:eastAsia="Calibri"/>
          <w:sz w:val="22"/>
          <w:szCs w:val="22"/>
          <w:lang w:eastAsia="en-US"/>
        </w:rPr>
      </w:pPr>
    </w:p>
    <w:p w:rsidR="009B1312" w:rsidRPr="00002CA1" w:rsidRDefault="009B1312" w:rsidP="009B1312">
      <w:pPr>
        <w:spacing w:line="276" w:lineRule="auto"/>
        <w:jc w:val="both"/>
        <w:rPr>
          <w:rFonts w:eastAsia="Calibri"/>
          <w:sz w:val="22"/>
          <w:szCs w:val="22"/>
          <w:lang w:eastAsia="en-US"/>
        </w:rPr>
      </w:pPr>
    </w:p>
    <w:p w:rsidR="009B1312" w:rsidRPr="00002CA1" w:rsidRDefault="009B1312" w:rsidP="009B1312">
      <w:pPr>
        <w:spacing w:line="276" w:lineRule="auto"/>
        <w:jc w:val="both"/>
        <w:rPr>
          <w:rFonts w:eastAsia="Calibri"/>
          <w:b/>
          <w:sz w:val="22"/>
          <w:szCs w:val="22"/>
          <w:lang w:eastAsia="en-US"/>
        </w:rPr>
      </w:pPr>
      <w:r w:rsidRPr="00002CA1">
        <w:rPr>
          <w:rFonts w:eastAsia="Calibri"/>
          <w:b/>
          <w:sz w:val="22"/>
          <w:szCs w:val="22"/>
          <w:lang w:eastAsia="en-US"/>
        </w:rPr>
        <w:t>Objednávateľ:</w:t>
      </w:r>
      <w:r w:rsidRPr="00002CA1">
        <w:rPr>
          <w:rFonts w:eastAsia="Calibri"/>
          <w:b/>
          <w:sz w:val="22"/>
          <w:szCs w:val="22"/>
          <w:lang w:eastAsia="en-US"/>
        </w:rPr>
        <w:tab/>
      </w:r>
      <w:r w:rsidRPr="00002CA1">
        <w:rPr>
          <w:rFonts w:eastAsia="Calibri"/>
          <w:b/>
          <w:sz w:val="22"/>
          <w:szCs w:val="22"/>
          <w:lang w:eastAsia="en-US"/>
        </w:rPr>
        <w:tab/>
      </w:r>
      <w:r w:rsidRPr="00002CA1">
        <w:rPr>
          <w:rFonts w:eastAsia="Calibri"/>
          <w:b/>
          <w:sz w:val="22"/>
          <w:szCs w:val="22"/>
          <w:lang w:eastAsia="en-US"/>
        </w:rPr>
        <w:tab/>
      </w:r>
      <w:r w:rsidRPr="00002CA1">
        <w:rPr>
          <w:rFonts w:eastAsia="Calibri"/>
          <w:b/>
          <w:sz w:val="22"/>
          <w:szCs w:val="22"/>
          <w:lang w:eastAsia="en-US"/>
        </w:rPr>
        <w:tab/>
      </w:r>
      <w:r w:rsidRPr="00002CA1">
        <w:rPr>
          <w:rFonts w:eastAsia="Calibri"/>
          <w:b/>
          <w:sz w:val="22"/>
          <w:szCs w:val="22"/>
          <w:lang w:eastAsia="en-US"/>
        </w:rPr>
        <w:tab/>
      </w:r>
      <w:r w:rsidRPr="00002CA1">
        <w:rPr>
          <w:rFonts w:eastAsia="Calibri"/>
          <w:b/>
          <w:sz w:val="22"/>
          <w:szCs w:val="22"/>
          <w:lang w:eastAsia="en-US"/>
        </w:rPr>
        <w:tab/>
        <w:t>Dodávateľ:</w:t>
      </w:r>
    </w:p>
    <w:p w:rsidR="009B1312" w:rsidRDefault="009B1312" w:rsidP="009B1312">
      <w:pPr>
        <w:tabs>
          <w:tab w:val="center" w:pos="1843"/>
          <w:tab w:val="center" w:pos="6804"/>
        </w:tabs>
        <w:spacing w:line="276" w:lineRule="auto"/>
        <w:jc w:val="both"/>
        <w:rPr>
          <w:rFonts w:eastAsia="Calibri"/>
          <w:sz w:val="22"/>
          <w:szCs w:val="22"/>
          <w:lang w:eastAsia="en-US"/>
        </w:rPr>
      </w:pPr>
    </w:p>
    <w:p w:rsidR="009B1312" w:rsidRPr="00002CA1" w:rsidRDefault="009B1312" w:rsidP="009B1312">
      <w:pPr>
        <w:tabs>
          <w:tab w:val="center" w:pos="1843"/>
          <w:tab w:val="center" w:pos="6804"/>
        </w:tabs>
        <w:spacing w:line="276" w:lineRule="auto"/>
        <w:jc w:val="both"/>
        <w:rPr>
          <w:rFonts w:eastAsia="Calibri"/>
          <w:sz w:val="22"/>
          <w:szCs w:val="22"/>
          <w:lang w:eastAsia="en-US"/>
        </w:rPr>
      </w:pPr>
    </w:p>
    <w:p w:rsidR="009B1312" w:rsidRPr="00002CA1" w:rsidRDefault="009B1312" w:rsidP="009B1312">
      <w:pPr>
        <w:tabs>
          <w:tab w:val="left" w:pos="-7088"/>
        </w:tabs>
        <w:spacing w:line="276" w:lineRule="auto"/>
        <w:jc w:val="both"/>
        <w:outlineLvl w:val="0"/>
        <w:rPr>
          <w:rFonts w:eastAsia="Calibri"/>
          <w:color w:val="FFFFFF"/>
          <w:sz w:val="22"/>
          <w:szCs w:val="22"/>
          <w:lang w:eastAsia="en-US"/>
        </w:rPr>
      </w:pPr>
      <w:r w:rsidRPr="00002CA1">
        <w:rPr>
          <w:rFonts w:eastAsia="Calibri"/>
          <w:sz w:val="22"/>
          <w:szCs w:val="22"/>
          <w:lang w:eastAsia="en-US"/>
        </w:rPr>
        <w:t>________________________________</w:t>
      </w:r>
      <w:r w:rsidRPr="00002CA1">
        <w:rPr>
          <w:rFonts w:eastAsia="Calibri"/>
          <w:sz w:val="22"/>
          <w:szCs w:val="22"/>
          <w:lang w:eastAsia="en-US"/>
        </w:rPr>
        <w:tab/>
      </w:r>
      <w:r w:rsidRPr="00002CA1">
        <w:rPr>
          <w:rFonts w:eastAsia="Calibri"/>
          <w:sz w:val="22"/>
          <w:szCs w:val="22"/>
          <w:lang w:eastAsia="en-US"/>
        </w:rPr>
        <w:tab/>
      </w:r>
      <w:r w:rsidRPr="00002CA1">
        <w:rPr>
          <w:rFonts w:eastAsia="Calibri"/>
          <w:sz w:val="22"/>
          <w:szCs w:val="22"/>
          <w:lang w:eastAsia="en-US"/>
        </w:rPr>
        <w:tab/>
        <w:t>________________________________</w:t>
      </w:r>
    </w:p>
    <w:p w:rsidR="009B1312" w:rsidRPr="00002CA1" w:rsidRDefault="009B1312" w:rsidP="009B1312">
      <w:pPr>
        <w:tabs>
          <w:tab w:val="left" w:pos="-7088"/>
        </w:tabs>
        <w:spacing w:line="276" w:lineRule="auto"/>
        <w:jc w:val="both"/>
        <w:outlineLvl w:val="0"/>
        <w:rPr>
          <w:rFonts w:eastAsia="Calibri"/>
          <w:sz w:val="22"/>
          <w:szCs w:val="22"/>
          <w:lang w:eastAsia="en-US"/>
        </w:rPr>
      </w:pPr>
      <w:r w:rsidRPr="00002CA1">
        <w:rPr>
          <w:rFonts w:eastAsia="Calibri"/>
          <w:b/>
          <w:sz w:val="22"/>
          <w:szCs w:val="22"/>
          <w:lang w:eastAsia="en-US"/>
        </w:rPr>
        <w:tab/>
        <w:t xml:space="preserve">   </w:t>
      </w:r>
    </w:p>
    <w:p w:rsidR="009B1312" w:rsidRPr="00F402BF" w:rsidRDefault="009B1312" w:rsidP="009B1312">
      <w:pPr>
        <w:pStyle w:val="Textt"/>
      </w:pPr>
    </w:p>
    <w:p w:rsidR="00F76CFB" w:rsidRDefault="00F76CFB"/>
    <w:sectPr w:rsidR="00F76C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385D"/>
    <w:multiLevelType w:val="multilevel"/>
    <w:tmpl w:val="FD5AF454"/>
    <w:lvl w:ilvl="0">
      <w:start w:val="1"/>
      <w:numFmt w:val="decimal"/>
      <w:lvlText w:val="%1."/>
      <w:lvlJc w:val="left"/>
      <w:pPr>
        <w:ind w:left="720" w:hanging="360"/>
      </w:pPr>
      <w:rPr>
        <w:rFonts w:hint="default"/>
        <w:b/>
      </w:rPr>
    </w:lvl>
    <w:lvl w:ilvl="1">
      <w:start w:val="16"/>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1" w15:restartNumberingAfterBreak="0">
    <w:nsid w:val="0D6917B4"/>
    <w:multiLevelType w:val="hybridMultilevel"/>
    <w:tmpl w:val="7C28AF90"/>
    <w:lvl w:ilvl="0" w:tplc="AD287052">
      <w:start w:val="1"/>
      <w:numFmt w:val="decimal"/>
      <w:lvlText w:val="%1."/>
      <w:lvlJc w:val="left"/>
      <w:pPr>
        <w:ind w:left="720" w:hanging="360"/>
      </w:pPr>
      <w:rPr>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20372259"/>
    <w:multiLevelType w:val="multilevel"/>
    <w:tmpl w:val="BEC420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04437A"/>
    <w:multiLevelType w:val="hybridMultilevel"/>
    <w:tmpl w:val="B8E01E3C"/>
    <w:lvl w:ilvl="0" w:tplc="42A873EA">
      <w:start w:val="1"/>
      <w:numFmt w:val="decimal"/>
      <w:lvlText w:val="%1."/>
      <w:lvlJc w:val="left"/>
      <w:pPr>
        <w:ind w:left="720" w:hanging="360"/>
      </w:pPr>
      <w:rPr>
        <w:b w:val="0"/>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2FD77E01"/>
    <w:multiLevelType w:val="multilevel"/>
    <w:tmpl w:val="9E049A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6702A9C"/>
    <w:multiLevelType w:val="hybridMultilevel"/>
    <w:tmpl w:val="B55C0B04"/>
    <w:lvl w:ilvl="0" w:tplc="B70E48FA">
      <w:start w:val="1"/>
      <w:numFmt w:val="decimal"/>
      <w:lvlText w:val="1.%1 "/>
      <w:lvlJc w:val="left"/>
      <w:pPr>
        <w:ind w:left="2771" w:hanging="360"/>
      </w:pPr>
      <w:rPr>
        <w:rFonts w:ascii="Times New Roman" w:hAnsi="Times New Roman" w:cs="Times New Roman" w:hint="default"/>
        <w:b w:val="0"/>
        <w:bCs/>
        <w:i w:val="0"/>
        <w:iCs w:val="0"/>
        <w:sz w:val="22"/>
        <w:szCs w:val="22"/>
      </w:rPr>
    </w:lvl>
    <w:lvl w:ilvl="1" w:tplc="041B0019" w:tentative="1">
      <w:start w:val="1"/>
      <w:numFmt w:val="lowerLetter"/>
      <w:lvlText w:val="%2."/>
      <w:lvlJc w:val="left"/>
      <w:pPr>
        <w:ind w:left="3207" w:hanging="360"/>
      </w:pPr>
    </w:lvl>
    <w:lvl w:ilvl="2" w:tplc="041B001B" w:tentative="1">
      <w:start w:val="1"/>
      <w:numFmt w:val="lowerRoman"/>
      <w:lvlText w:val="%3."/>
      <w:lvlJc w:val="right"/>
      <w:pPr>
        <w:ind w:left="3927" w:hanging="180"/>
      </w:pPr>
    </w:lvl>
    <w:lvl w:ilvl="3" w:tplc="041B000F" w:tentative="1">
      <w:start w:val="1"/>
      <w:numFmt w:val="decimal"/>
      <w:lvlText w:val="%4."/>
      <w:lvlJc w:val="left"/>
      <w:pPr>
        <w:ind w:left="4647" w:hanging="360"/>
      </w:pPr>
    </w:lvl>
    <w:lvl w:ilvl="4" w:tplc="041B0019" w:tentative="1">
      <w:start w:val="1"/>
      <w:numFmt w:val="lowerLetter"/>
      <w:lvlText w:val="%5."/>
      <w:lvlJc w:val="left"/>
      <w:pPr>
        <w:ind w:left="5367" w:hanging="360"/>
      </w:pPr>
    </w:lvl>
    <w:lvl w:ilvl="5" w:tplc="041B001B" w:tentative="1">
      <w:start w:val="1"/>
      <w:numFmt w:val="lowerRoman"/>
      <w:lvlText w:val="%6."/>
      <w:lvlJc w:val="right"/>
      <w:pPr>
        <w:ind w:left="6087" w:hanging="180"/>
      </w:pPr>
    </w:lvl>
    <w:lvl w:ilvl="6" w:tplc="041B000F" w:tentative="1">
      <w:start w:val="1"/>
      <w:numFmt w:val="decimal"/>
      <w:lvlText w:val="%7."/>
      <w:lvlJc w:val="left"/>
      <w:pPr>
        <w:ind w:left="6807" w:hanging="360"/>
      </w:pPr>
    </w:lvl>
    <w:lvl w:ilvl="7" w:tplc="041B0019" w:tentative="1">
      <w:start w:val="1"/>
      <w:numFmt w:val="lowerLetter"/>
      <w:lvlText w:val="%8."/>
      <w:lvlJc w:val="left"/>
      <w:pPr>
        <w:ind w:left="7527" w:hanging="360"/>
      </w:pPr>
    </w:lvl>
    <w:lvl w:ilvl="8" w:tplc="041B001B" w:tentative="1">
      <w:start w:val="1"/>
      <w:numFmt w:val="lowerRoman"/>
      <w:lvlText w:val="%9."/>
      <w:lvlJc w:val="right"/>
      <w:pPr>
        <w:ind w:left="8247" w:hanging="180"/>
      </w:pPr>
    </w:lvl>
  </w:abstractNum>
  <w:abstractNum w:abstractNumId="6" w15:restartNumberingAfterBreak="0">
    <w:nsid w:val="3A3679A4"/>
    <w:multiLevelType w:val="hybridMultilevel"/>
    <w:tmpl w:val="88C46DBE"/>
    <w:lvl w:ilvl="0" w:tplc="8DFEC3C4">
      <w:start w:val="1"/>
      <w:numFmt w:val="lowerLetter"/>
      <w:lvlText w:val="%1)"/>
      <w:lvlJc w:val="left"/>
      <w:pPr>
        <w:ind w:left="1287" w:hanging="360"/>
      </w:pPr>
      <w:rPr>
        <w:rFonts w:ascii="Times New Roman" w:eastAsia="Book Antiqua" w:hAnsi="Times New Roman" w:cs="Times New Roman"/>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7" w15:restartNumberingAfterBreak="0">
    <w:nsid w:val="41E9560D"/>
    <w:multiLevelType w:val="hybridMultilevel"/>
    <w:tmpl w:val="EA149F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2D7FB2"/>
    <w:multiLevelType w:val="hybridMultilevel"/>
    <w:tmpl w:val="C3E4B562"/>
    <w:lvl w:ilvl="0" w:tplc="5E962208">
      <w:start w:val="1"/>
      <w:numFmt w:val="decimal"/>
      <w:lvlText w:val="3.%1 "/>
      <w:lvlJc w:val="left"/>
      <w:pPr>
        <w:ind w:left="644" w:hanging="360"/>
      </w:pPr>
      <w:rPr>
        <w:rFonts w:ascii="Times New Roman" w:hAnsi="Times New Roman" w:cs="Times New Roman" w:hint="default"/>
        <w:b w:val="0"/>
        <w:bCs/>
        <w:i w:val="0"/>
        <w:i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9D067D2"/>
    <w:multiLevelType w:val="singleLevel"/>
    <w:tmpl w:val="D8B41E7A"/>
    <w:lvl w:ilvl="0">
      <w:start w:val="1"/>
      <w:numFmt w:val="lowerLetter"/>
      <w:lvlText w:val="%1)"/>
      <w:lvlJc w:val="left"/>
      <w:pPr>
        <w:tabs>
          <w:tab w:val="num" w:pos="1440"/>
        </w:tabs>
        <w:ind w:left="1440" w:hanging="360"/>
      </w:pPr>
      <w:rPr>
        <w:rFonts w:ascii="Arial" w:hAnsi="Arial" w:cs="Arial" w:hint="default"/>
        <w:b w:val="0"/>
        <w:i w:val="0"/>
        <w:sz w:val="20"/>
        <w:szCs w:val="20"/>
      </w:rPr>
    </w:lvl>
  </w:abstractNum>
  <w:abstractNum w:abstractNumId="10" w15:restartNumberingAfterBreak="0">
    <w:nsid w:val="4B4429D7"/>
    <w:multiLevelType w:val="multilevel"/>
    <w:tmpl w:val="CC22BD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A8F6D25"/>
    <w:multiLevelType w:val="hybridMultilevel"/>
    <w:tmpl w:val="FF40C6B2"/>
    <w:lvl w:ilvl="0" w:tplc="24621648">
      <w:start w:val="1"/>
      <w:numFmt w:val="decimal"/>
      <w:lvlText w:val="2.%1 "/>
      <w:lvlJc w:val="left"/>
      <w:pPr>
        <w:ind w:left="5322" w:hanging="360"/>
      </w:pPr>
      <w:rPr>
        <w:rFonts w:ascii="Times New Roman" w:hAnsi="Times New Roman" w:cs="Times New Roman" w:hint="default"/>
        <w:b w:val="0"/>
        <w:bCs/>
        <w:i w:val="0"/>
        <w:iCs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1820C14"/>
    <w:multiLevelType w:val="hybridMultilevel"/>
    <w:tmpl w:val="D27450D4"/>
    <w:lvl w:ilvl="0" w:tplc="E9588264">
      <w:start w:val="1"/>
      <w:numFmt w:val="decimal"/>
      <w:lvlText w:val="4.%1"/>
      <w:lvlJc w:val="left"/>
      <w:pPr>
        <w:ind w:left="928" w:hanging="360"/>
      </w:pPr>
      <w:rPr>
        <w:rFonts w:ascii="Times New Roman" w:hAnsi="Times New Roman" w:cs="Times New Roman" w:hint="default"/>
        <w:b w:val="0"/>
        <w:bCs/>
        <w:i w:val="0"/>
        <w:iCs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BE21E44"/>
    <w:multiLevelType w:val="multilevel"/>
    <w:tmpl w:val="8DE63E70"/>
    <w:lvl w:ilvl="0">
      <w:start w:val="5"/>
      <w:numFmt w:val="decimal"/>
      <w:lvlText w:val="%1"/>
      <w:lvlJc w:val="left"/>
      <w:pPr>
        <w:ind w:left="360" w:hanging="360"/>
      </w:pPr>
      <w:rPr>
        <w:rFonts w:eastAsia="Times New Roman" w:hint="default"/>
        <w:sz w:val="24"/>
      </w:rPr>
    </w:lvl>
    <w:lvl w:ilvl="1">
      <w:start w:val="1"/>
      <w:numFmt w:val="decimal"/>
      <w:lvlText w:val="%1.%2"/>
      <w:lvlJc w:val="left"/>
      <w:pPr>
        <w:ind w:left="360" w:hanging="36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14" w15:restartNumberingAfterBreak="0">
    <w:nsid w:val="74233B75"/>
    <w:multiLevelType w:val="multilevel"/>
    <w:tmpl w:val="51102DC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5"/>
  </w:num>
  <w:num w:numId="3">
    <w:abstractNumId w:val="11"/>
  </w:num>
  <w:num w:numId="4">
    <w:abstractNumId w:val="6"/>
  </w:num>
  <w:num w:numId="5">
    <w:abstractNumId w:val="8"/>
  </w:num>
  <w:num w:numId="6">
    <w:abstractNumId w:val="12"/>
  </w:num>
  <w:num w:numId="7">
    <w:abstractNumId w:val="9"/>
  </w:num>
  <w:num w:numId="8">
    <w:abstractNumId w:val="1"/>
    <w:lvlOverride w:ilvl="0"/>
    <w:lvlOverride w:ilvl="0"/>
    <w:lvlOverride w:ilvl="0"/>
    <w:lvlOverride w:ilvl="0"/>
    <w:lvlOverride w:ilvl="0"/>
    <w:lvlOverride w:ilvl="0"/>
    <w:lvlOverride w:ilvl="0"/>
    <w:lvlOverride w:ilvl="0"/>
    <w:lvlOverride w:ilvl="0"/>
  </w:num>
  <w:num w:numId="9">
    <w:abstractNumId w:val="7"/>
    <w:lvlOverride w:ilvl="0"/>
    <w:lvlOverride w:ilvl="0"/>
    <w:lvlOverride w:ilvl="0"/>
    <w:lvlOverride w:ilvl="0"/>
    <w:lvlOverride w:ilvl="0"/>
    <w:lvlOverride w:ilvl="0"/>
    <w:lvlOverride w:ilvl="0"/>
    <w:lvlOverride w:ilvl="0"/>
    <w:lvlOverride w:ilvl="0"/>
  </w:num>
  <w:num w:numId="10">
    <w:abstractNumId w:val="3"/>
    <w:lvlOverride w:ilvl="0"/>
    <w:lvlOverride w:ilvl="0"/>
    <w:lvlOverride w:ilvl="0"/>
    <w:lvlOverride w:ilvl="0"/>
    <w:lvlOverride w:ilvl="0"/>
    <w:lvlOverride w:ilvl="0"/>
    <w:lvlOverride w:ilvl="0"/>
    <w:lvlOverride w:ilvl="0"/>
    <w:lvlOverride w:ilvl="0"/>
  </w:num>
  <w:num w:numId="11">
    <w:abstractNumId w:val="13"/>
  </w:num>
  <w:num w:numId="12">
    <w:abstractNumId w:val="4"/>
  </w:num>
  <w:num w:numId="13">
    <w:abstractNumId w:val="14"/>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312"/>
    <w:rsid w:val="009B1312"/>
    <w:rsid w:val="00F76C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06D77-B727-468C-BEC2-431EC74D6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B1312"/>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9B1312"/>
    <w:pPr>
      <w:spacing w:after="120"/>
    </w:pPr>
  </w:style>
  <w:style w:type="character" w:customStyle="1" w:styleId="ZkladntextChar">
    <w:name w:val="Základný text Char"/>
    <w:basedOn w:val="Predvolenpsmoodseku"/>
    <w:link w:val="Zkladntext"/>
    <w:rsid w:val="009B1312"/>
    <w:rPr>
      <w:rFonts w:ascii="Times New Roman" w:eastAsia="Times New Roman" w:hAnsi="Times New Roman" w:cs="Times New Roman"/>
      <w:sz w:val="20"/>
      <w:szCs w:val="20"/>
      <w:lang w:eastAsia="sk-SK"/>
    </w:rPr>
  </w:style>
  <w:style w:type="paragraph" w:styleId="Odsekzoznamu">
    <w:name w:val="List Paragraph"/>
    <w:aliases w:val="body,Odsek,Odsek zoznamu2"/>
    <w:basedOn w:val="Normlny"/>
    <w:link w:val="OdsekzoznamuChar"/>
    <w:uiPriority w:val="34"/>
    <w:qFormat/>
    <w:rsid w:val="009B1312"/>
    <w:pPr>
      <w:ind w:left="708"/>
    </w:pPr>
  </w:style>
  <w:style w:type="paragraph" w:styleId="Bezriadkovania">
    <w:name w:val="No Spacing"/>
    <w:link w:val="BezriadkovaniaChar"/>
    <w:uiPriority w:val="1"/>
    <w:qFormat/>
    <w:rsid w:val="009B1312"/>
    <w:pPr>
      <w:spacing w:after="0" w:line="240" w:lineRule="auto"/>
    </w:pPr>
    <w:rPr>
      <w:rFonts w:ascii="Calibri" w:eastAsia="Times New Roman" w:hAnsi="Calibri" w:cs="Times New Roman"/>
    </w:rPr>
  </w:style>
  <w:style w:type="character" w:customStyle="1" w:styleId="BezriadkovaniaChar">
    <w:name w:val="Bez riadkovania Char"/>
    <w:link w:val="Bezriadkovania"/>
    <w:uiPriority w:val="1"/>
    <w:rsid w:val="009B1312"/>
    <w:rPr>
      <w:rFonts w:ascii="Calibri" w:eastAsia="Times New Roman" w:hAnsi="Calibri" w:cs="Times New Roman"/>
    </w:rPr>
  </w:style>
  <w:style w:type="character" w:customStyle="1" w:styleId="OdsekzoznamuChar">
    <w:name w:val="Odsek zoznamu Char"/>
    <w:aliases w:val="body Char,Odsek Char,Odsek zoznamu2 Char"/>
    <w:link w:val="Odsekzoznamu"/>
    <w:uiPriority w:val="34"/>
    <w:locked/>
    <w:rsid w:val="009B1312"/>
    <w:rPr>
      <w:rFonts w:ascii="Times New Roman" w:eastAsia="Times New Roman" w:hAnsi="Times New Roman" w:cs="Times New Roman"/>
      <w:sz w:val="20"/>
      <w:szCs w:val="20"/>
      <w:lang w:eastAsia="sk-SK"/>
    </w:rPr>
  </w:style>
  <w:style w:type="paragraph" w:customStyle="1" w:styleId="Textt">
    <w:name w:val="Text_t"/>
    <w:basedOn w:val="Normlny"/>
    <w:link w:val="TexttChar"/>
    <w:qFormat/>
    <w:rsid w:val="009B1312"/>
    <w:pPr>
      <w:ind w:left="720"/>
      <w:jc w:val="both"/>
    </w:pPr>
    <w:rPr>
      <w:sz w:val="24"/>
      <w:szCs w:val="24"/>
      <w:lang w:val="x-none" w:eastAsia="cs-CZ"/>
    </w:rPr>
  </w:style>
  <w:style w:type="character" w:customStyle="1" w:styleId="TexttChar">
    <w:name w:val="Text_t Char"/>
    <w:link w:val="Textt"/>
    <w:rsid w:val="009B1312"/>
    <w:rPr>
      <w:rFonts w:ascii="Times New Roman" w:eastAsia="Times New Roman" w:hAnsi="Times New Roman" w:cs="Times New Roman"/>
      <w:sz w:val="24"/>
      <w:szCs w:val="24"/>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2966</Words>
  <Characters>16907</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Hurtekova, Michaela</dc:creator>
  <cp:keywords/>
  <dc:description/>
  <cp:lastModifiedBy>Hurtekova, Michaela</cp:lastModifiedBy>
  <cp:revision>1</cp:revision>
  <dcterms:created xsi:type="dcterms:W3CDTF">2018-12-03T11:40:00Z</dcterms:created>
  <dcterms:modified xsi:type="dcterms:W3CDTF">2018-12-03T11:41:00Z</dcterms:modified>
</cp:coreProperties>
</file>