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8380250" w14:textId="096F8EC4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Názov odberateľa</w:t>
      </w:r>
      <w:r w:rsidRPr="005565D2">
        <w:rPr>
          <w:rFonts w:ascii="Arial" w:hAnsi="Arial" w:cs="Arial"/>
          <w:color w:val="auto"/>
          <w:sz w:val="22"/>
          <w:szCs w:val="22"/>
        </w:rPr>
        <w:t>: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77BDA43B" w14:textId="17C4B74B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Sídlo: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4152753A" w14:textId="70B873A9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Zastúpenie: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3680D69" w14:textId="6F3A1C2B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IČO: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9D738BC" w14:textId="23578E8A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>DIČ: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70A831A0" w14:textId="710413C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Bankové spojenie: </w:t>
      </w:r>
      <w:r w:rsidRPr="00E371B2">
        <w:rPr>
          <w:rFonts w:ascii="Arial" w:eastAsia="Times New Roman" w:hAnsi="Arial" w:cs="Arial"/>
          <w:lang w:eastAsia="ar-SA"/>
        </w:rPr>
        <w:tab/>
      </w:r>
    </w:p>
    <w:p w14:paraId="7F84C334" w14:textId="4477BCB8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Č. účtu: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23419A4D" w14:textId="408FA966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SWIFT/BIC: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26C951EB" w14:textId="62627DA0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>Tel.: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45864F6" w14:textId="777A5F94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E-mail: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E25FAE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Názov dodávateľa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45828EC0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Sídlo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3CAB328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v zastúpení: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EBDD8D5" w14:textId="77777777" w:rsidR="00A63A6E" w:rsidRPr="005565D2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zápis: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43425E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IČO: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F9F673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DIČ: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14851D9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IČ DPH: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E78BE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Bankové spojenie: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7FE4976F" w14:textId="56625153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D46DA3" w:rsidRPr="00956B34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="002923E0"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 w:rsidR="002923E0"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="002923E0"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 w:rsidR="002923E0"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77777777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“) v kategóriách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stredoodber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</w:t>
      </w:r>
      <w:r w:rsidRPr="005565D2">
        <w:rPr>
          <w:rFonts w:ascii="Arial" w:hAnsi="Arial" w:cs="Arial"/>
          <w:color w:val="auto"/>
          <w:sz w:val="22"/>
          <w:szCs w:val="22"/>
        </w:rPr>
        <w:t>“) a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maloodber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MO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a súvisiace systémové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72F7BBC1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6F13AD">
        <w:rPr>
          <w:rFonts w:ascii="Arial" w:hAnsi="Arial" w:cs="Arial"/>
          <w:color w:val="auto"/>
          <w:sz w:val="22"/>
          <w:szCs w:val="22"/>
        </w:rPr>
        <w:t>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o 00:00 hodine. Zmluva je účinná </w:t>
      </w:r>
      <w:r w:rsidR="006F13AD">
        <w:rPr>
          <w:rFonts w:ascii="Arial" w:hAnsi="Arial" w:cs="Arial"/>
          <w:color w:val="auto"/>
          <w:sz w:val="22"/>
          <w:szCs w:val="22"/>
        </w:rPr>
        <w:t>..............</w:t>
      </w:r>
      <w:r w:rsidRPr="00D46DA3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od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dňa začiatku dodávky podľa predchádzajúcej vety.</w:t>
      </w:r>
    </w:p>
    <w:p w14:paraId="5493D956" w14:textId="71B68698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6F13AD">
        <w:rPr>
          <w:rFonts w:ascii="Arial" w:hAnsi="Arial" w:cs="Arial"/>
          <w:color w:val="auto"/>
          <w:sz w:val="22"/>
          <w:szCs w:val="22"/>
        </w:rPr>
        <w:t>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, a to </w:t>
      </w:r>
      <w:r w:rsidR="006F13AD">
        <w:rPr>
          <w:rFonts w:ascii="Arial" w:hAnsi="Arial" w:cs="Arial"/>
          <w:color w:val="auto"/>
          <w:sz w:val="22"/>
          <w:szCs w:val="22"/>
        </w:rPr>
        <w:t>.....................</w:t>
      </w:r>
      <w:r w:rsidR="00956B34" w:rsidRPr="00956B34">
        <w:rPr>
          <w:rFonts w:ascii="Arial" w:hAnsi="Arial" w:cs="Arial"/>
          <w:color w:val="auto"/>
          <w:sz w:val="22"/>
          <w:szCs w:val="22"/>
        </w:rPr>
        <w:t xml:space="preserve"> MWh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Pr="005565D2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52973AEF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EBCB28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781A88E3" w14:textId="1A22EC6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6F13AD">
        <w:rPr>
          <w:rFonts w:ascii="Arial" w:hAnsi="Arial" w:cs="Arial"/>
          <w:highlight w:val="yellow"/>
        </w:rPr>
        <w:t>....</w:t>
      </w:r>
      <w:r w:rsidRPr="006F13AD">
        <w:rPr>
          <w:rFonts w:ascii="Arial" w:hAnsi="Arial" w:cs="Arial"/>
          <w:highlight w:val="yellow"/>
        </w:rPr>
        <w:t>...</w:t>
      </w:r>
      <w:r w:rsidRPr="005565D2">
        <w:rPr>
          <w:rFonts w:ascii="Arial" w:hAnsi="Arial" w:cs="Arial"/>
        </w:rPr>
        <w:t xml:space="preserve"> EUR/ MWh bez DPH</w:t>
      </w:r>
    </w:p>
    <w:p w14:paraId="67C68009" w14:textId="77777777" w:rsidR="001B015D" w:rsidRDefault="001B015D" w:rsidP="001B015D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D02591D" w14:textId="48D36BF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lastRenderedPageBreak/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</w:t>
      </w:r>
      <w:r w:rsidR="0054286C" w:rsidRPr="0054286C">
        <w:rPr>
          <w:rFonts w:ascii="Arial" w:hAnsi="Arial" w:cs="Arial"/>
          <w:highlight w:val="yellow"/>
        </w:rPr>
        <w:t>...</w:t>
      </w:r>
      <w:r w:rsidRPr="0054286C">
        <w:rPr>
          <w:rFonts w:ascii="Arial" w:hAnsi="Arial" w:cs="Arial"/>
          <w:highlight w:val="yellow"/>
        </w:rPr>
        <w:t>.</w:t>
      </w:r>
      <w:r w:rsidRPr="005565D2">
        <w:rPr>
          <w:rFonts w:ascii="Arial" w:hAnsi="Arial" w:cs="Arial"/>
        </w:rPr>
        <w:t xml:space="preserve"> EUR/ mes. bez DPH</w:t>
      </w: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0CF01C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1084E07B" w14:textId="2E88DA7E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4A47B57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fixná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51C9C56" w14:textId="4C1BF895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Distribúcia – </w:t>
      </w:r>
      <w:r w:rsidR="006F13AD">
        <w:rPr>
          <w:rFonts w:ascii="Arial" w:hAnsi="Arial" w:cs="Arial"/>
        </w:rPr>
        <w:t xml:space="preserve">Výkonová sadzba do 1 mil. DMM </w:t>
      </w:r>
      <w:r w:rsidRPr="005565D2">
        <w:rPr>
          <w:rFonts w:ascii="Arial" w:hAnsi="Arial" w:cs="Arial"/>
        </w:rPr>
        <w:tab/>
        <w:t>... EUR/ mes. bez DPH</w:t>
      </w:r>
    </w:p>
    <w:p w14:paraId="0ABE4BF4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417482A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DC5A859" w14:textId="1F28331B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Preprava – </w:t>
      </w:r>
      <w:r w:rsidR="006F13AD">
        <w:rPr>
          <w:rFonts w:ascii="Arial" w:hAnsi="Arial" w:cs="Arial"/>
        </w:rPr>
        <w:t>fixná sadzba</w:t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12D82A16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9D359F9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0C2F5FFB" w14:textId="744C094C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 w:rsidR="00C62DE7">
        <w:rPr>
          <w:rFonts w:ascii="Arial" w:hAnsi="Arial" w:cs="Arial"/>
        </w:rPr>
        <w:t>-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40D9BA0" w14:textId="56CA162B" w:rsidR="00C62DE7" w:rsidRDefault="00C62DE7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Distribúcia plynu – fixná sadzba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2DE7">
        <w:rPr>
          <w:rFonts w:ascii="Arial" w:hAnsi="Arial" w:cs="Arial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1081CE58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7ADB72A8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62DE7">
        <w:rPr>
          <w:rFonts w:ascii="Arial" w:hAnsi="Arial" w:cs="Arial"/>
          <w:color w:val="auto"/>
          <w:sz w:val="22"/>
          <w:szCs w:val="22"/>
        </w:rPr>
        <w:t>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32274CBF" w:rsidR="00A63A6E" w:rsidRPr="00E04F0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9D4CDA">
        <w:rPr>
          <w:rFonts w:ascii="Arial" w:hAnsi="Arial" w:cs="Arial"/>
          <w:color w:val="auto"/>
          <w:sz w:val="22"/>
          <w:szCs w:val="22"/>
        </w:rPr>
        <w:t>Úhrada za odobratý zemný plyn a s tým spojené služby sa uskutoční formou bezhotovostného platobného styku s mesačnou zálohovou platbou pre jednotlivé odberné miesta Odberateľa na základe splátkového kalendára vypracovaného Dodávateľom, ktorý je prílohou č. 3 tejto zmluvy. Vyúčtovanie skutočnej spotreby zemného plynu pre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, bude raz mesačne na základe odpočtu stavu plynomerov v jednotlivých odberných miestach, najneskôr do </w:t>
      </w:r>
      <w:r w:rsidR="001B015D">
        <w:rPr>
          <w:rFonts w:ascii="Arial" w:hAnsi="Arial" w:cs="Arial"/>
          <w:color w:val="auto"/>
          <w:sz w:val="22"/>
          <w:szCs w:val="22"/>
        </w:rPr>
        <w:t>1</w:t>
      </w:r>
      <w:r w:rsidRPr="009D4CDA">
        <w:rPr>
          <w:rFonts w:ascii="Arial" w:hAnsi="Arial" w:cs="Arial"/>
          <w:color w:val="auto"/>
          <w:sz w:val="22"/>
          <w:szCs w:val="22"/>
        </w:rPr>
        <w:t>5 dní od skončenia príslušného mesiaca.</w:t>
      </w:r>
      <w:r w:rsidRPr="00E04F02">
        <w:rPr>
          <w:rFonts w:ascii="Arial" w:hAnsi="Arial" w:cs="Arial"/>
          <w:strike/>
          <w:color w:val="auto"/>
          <w:sz w:val="22"/>
          <w:szCs w:val="22"/>
        </w:rPr>
        <w:t xml:space="preserve">  </w:t>
      </w:r>
    </w:p>
    <w:p w14:paraId="256B620C" w14:textId="77777777" w:rsidR="00A63A6E" w:rsidRPr="00D200C9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Po </w:t>
      </w:r>
      <w:r>
        <w:rPr>
          <w:rFonts w:ascii="Arial" w:hAnsi="Arial" w:cs="Arial"/>
          <w:color w:val="auto"/>
          <w:sz w:val="22"/>
          <w:szCs w:val="22"/>
        </w:rPr>
        <w:t xml:space="preserve">každom </w:t>
      </w:r>
      <w:r w:rsidRPr="005565D2">
        <w:rPr>
          <w:rFonts w:ascii="Arial" w:hAnsi="Arial" w:cs="Arial"/>
          <w:color w:val="auto"/>
          <w:sz w:val="22"/>
          <w:szCs w:val="22"/>
        </w:rPr>
        <w:t>vyúčtovaní skutočnej spotreby zemného plynu pre jednotlivé odberné miesta vystaví Dodávateľ faktúru, ktorá bude obsahovať množstvo skutočného mesačného odberu, distribučné poplatky, spotrebnú daň a DPH.</w:t>
      </w:r>
      <w:r w:rsidRPr="00407554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>Splatnosť faktúry je 30 dní</w:t>
      </w:r>
      <w:r>
        <w:rPr>
          <w:rFonts w:ascii="Arial" w:hAnsi="Arial" w:cs="Arial"/>
          <w:color w:val="auto"/>
          <w:sz w:val="22"/>
          <w:szCs w:val="22"/>
        </w:rPr>
        <w:t xml:space="preserve"> odo dňa doručenia Odberateľovi</w:t>
      </w:r>
      <w:r w:rsidRPr="00D200C9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 v zmysle čl. 2., bod 2.1 zmluvy.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6B29F5B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možno ukončiť písomnou dohodou zmluvných strán alebo písomnou výpoveďou jednou zo zmluvných strán bez uvedenia dôvodu. Výpovedná lehota sú tri mesiace a začína plynúť prvým dňom nasledujúceho mesiaca po doručení výpovede druhej strane.</w:t>
      </w:r>
    </w:p>
    <w:p w14:paraId="43C4A488" w14:textId="77777777" w:rsidR="00A63A6E" w:rsidRPr="005565D2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dohodli, že práva a povinnosti, ktoré nie sú upravené touto zmluvou sa spravujú Prevádzkovým poriadkom PDS, ktorý je neoddeliteľnou súčasťou tejto zmluvy a tvorí jej prílohu č. 2, zákonom č. 251/2012 Z. z. o energetike a o zmene a doplnení niektorých zákonov, Vyhláškou ÚRSO č. 24/2013 Z. z., ktorou sa ustanovujú pravidlá pre fungovanie vnútorného trhu s </w:t>
      </w:r>
      <w:bookmarkStart w:id="0" w:name="_GoBack"/>
      <w:r w:rsidRPr="005565D2">
        <w:rPr>
          <w:rFonts w:ascii="Arial" w:hAnsi="Arial" w:cs="Arial"/>
          <w:color w:val="auto"/>
          <w:sz w:val="22"/>
          <w:szCs w:val="22"/>
        </w:rPr>
        <w:t>elektri</w:t>
      </w:r>
      <w:bookmarkEnd w:id="0"/>
      <w:r w:rsidRPr="005565D2">
        <w:rPr>
          <w:rFonts w:ascii="Arial" w:hAnsi="Arial" w:cs="Arial"/>
          <w:color w:val="auto"/>
          <w:sz w:val="22"/>
          <w:szCs w:val="22"/>
        </w:rPr>
        <w:t xml:space="preserve">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tri vyhotovenia a tri vyhotovenia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65B59C07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Prevádzkový poriadok PDS</w:t>
      </w:r>
    </w:p>
    <w:p w14:paraId="032FA14C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</w:p>
    <w:p w14:paraId="554B9189" w14:textId="77777777" w:rsidR="00A63A6E" w:rsidRPr="005565D2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Za Odberateľa: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Za Dodávateľa:</w:t>
      </w:r>
    </w:p>
    <w:p w14:paraId="68F780CD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7A151F6C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763621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5AB760A0" w14:textId="77777777" w:rsidR="00A63A6E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CBA2219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2BBAECEE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0645C78B" w14:textId="249754E2" w:rsidR="00A63A6E" w:rsidRPr="005565D2" w:rsidRDefault="00A63A6E" w:rsidP="001B015D">
      <w:pPr>
        <w:rPr>
          <w:rStyle w:val="Siln"/>
          <w:rFonts w:ascii="Arial" w:hAnsi="Arial" w:cs="Arial"/>
          <w:bCs w:val="0"/>
        </w:rPr>
      </w:pPr>
    </w:p>
    <w:sectPr w:rsidR="00A63A6E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175C" w16cex:dateUtc="2022-02-02T13:44:00Z"/>
  <w16cex:commentExtensible w16cex:durableId="25A51840" w16cex:dateUtc="2022-02-02T13:48:00Z"/>
  <w16cex:commentExtensible w16cex:durableId="25A51D0D" w16cex:dateUtc="2022-02-02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C0B6D2" w16cid:durableId="25A5175C"/>
  <w16cid:commentId w16cid:paraId="6AC0B47E" w16cid:durableId="25A51840"/>
  <w16cid:commentId w16cid:paraId="45F9F791" w16cid:durableId="25A51D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trike w:val="0"/>
        </w:rPr>
      </w:lvl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E"/>
    <w:rsid w:val="00051A58"/>
    <w:rsid w:val="001B015D"/>
    <w:rsid w:val="00287A96"/>
    <w:rsid w:val="002923E0"/>
    <w:rsid w:val="003C7406"/>
    <w:rsid w:val="0054286C"/>
    <w:rsid w:val="006A0BF7"/>
    <w:rsid w:val="006F13AD"/>
    <w:rsid w:val="0070001E"/>
    <w:rsid w:val="00956B34"/>
    <w:rsid w:val="009D4CDA"/>
    <w:rsid w:val="00A63A6E"/>
    <w:rsid w:val="00C257E7"/>
    <w:rsid w:val="00C62DE7"/>
    <w:rsid w:val="00CD6D90"/>
    <w:rsid w:val="00D46DA3"/>
    <w:rsid w:val="00DE36C5"/>
    <w:rsid w:val="00E04F02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C222-235A-4ACD-9D42-C9C77AB2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7274</Characters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2022-03-07T15:46:00Z</dcterms:created>
  <dcterms:modified xsi:type="dcterms:W3CDTF">2022-03-08T13:51:00Z</dcterms:modified>
</cp:coreProperties>
</file>