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291ACD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EF62F3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457F58A1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4178031D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341C353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C3A6AF" w14:textId="39327C56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60D8C4A9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6FD63E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1EF87CF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37634442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116CB1">
        <w:rPr>
          <w:rFonts w:ascii="Times New Roman" w:eastAsia="Calibri" w:hAnsi="Times New Roman"/>
          <w:b/>
          <w:noProof w:val="0"/>
          <w:szCs w:val="22"/>
          <w:lang w:eastAsia="en-US"/>
        </w:rPr>
        <w:t>USG prístroj pre urológiu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2B4B4638" w14:textId="77777777" w:rsidR="00D73323" w:rsidRDefault="00D73323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720BFB8B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116CB1" w:rsidRPr="00116CB1">
        <w:rPr>
          <w:rFonts w:ascii="Times New Roman" w:eastAsia="Calibri" w:hAnsi="Times New Roman"/>
          <w:noProof w:val="0"/>
          <w:szCs w:val="22"/>
          <w:lang w:eastAsia="en-US"/>
        </w:rPr>
        <w:t>USG prístroj pre urológiu</w:t>
      </w:r>
      <w:r w:rsidR="00116CB1" w:rsidRP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D73323">
        <w:rPr>
          <w:rFonts w:ascii="Times New Roman" w:eastAsia="Calibri" w:hAnsi="Times New Roman"/>
          <w:noProof w:val="0"/>
          <w:szCs w:val="22"/>
          <w:lang w:eastAsia="en-US"/>
        </w:rPr>
        <w:t>(ďalej aj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59AB3C99" w14:textId="08CF2370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8F2EBF" w14:textId="49010B8F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25534D" w14:textId="5AF98F75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015738" w14:textId="557BBF68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ADE3D" w14:textId="29DC7B64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766BC5" w14:textId="77777777" w:rsidR="00D73323" w:rsidRPr="00B300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1E1B6597" w:rsidR="006201D3" w:rsidRPr="00B30023" w:rsidRDefault="00116CB1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</w:t>
      </w:r>
    </w:p>
    <w:p w14:paraId="60817D53" w14:textId="2C598EC1" w:rsidR="00B81144" w:rsidRPr="006201D3" w:rsidRDefault="00AF2B2A" w:rsidP="00116CB1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.............................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e-mail: 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</w:t>
      </w: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32F6C629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5515E755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446DC22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................................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415D6C7A" w14:textId="68E173D0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394BA6" w14:textId="1F764861" w:rsidR="00D73323" w:rsidRPr="002C76A9" w:rsidRDefault="004A330E" w:rsidP="00B04D71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 w:rsidRPr="002C76A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ovaru uplatní bezodkladne po ich zistení, a to na tel./ faxovom čísle :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+ </w:t>
      </w:r>
      <w:r w:rsidR="002C76A9" w:rsidRP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alebo e-mailom na adrese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t>...................................</w:t>
      </w:r>
    </w:p>
    <w:p w14:paraId="7E4604F6" w14:textId="17C37A25" w:rsidR="00D73323" w:rsidRDefault="00D73323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31AD2A" w14:textId="77777777" w:rsidR="002C76A9" w:rsidRDefault="002C76A9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3069E8F0" w14:textId="77777777" w:rsidR="006F0076" w:rsidRPr="006F0076" w:rsidRDefault="006F0076" w:rsidP="006F0076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2A2645" w14:textId="48396D7B" w:rsidR="008E2EED" w:rsidRDefault="006F0076" w:rsidP="006F007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6F0076">
        <w:rPr>
          <w:rFonts w:ascii="Times New Roman" w:eastAsia="Calibri" w:hAnsi="Times New Roman"/>
          <w:noProof w:val="0"/>
          <w:szCs w:val="22"/>
          <w:lang w:eastAsia="en-US"/>
        </w:rPr>
        <w:t>mluvné strany sa dohodli, že predávajúci v postavení veriteľa nepostúpi akúkoľvek svoju pohľadávku z tejto zmluvy tretej osobe bez predchádzajúceho písomného súhlasu dlžníka- kupujúceho. Rovnakým spôsobom predávajúci pohľadávku voči kupujúcemu nezabezpečí ručením treťou osobou alebo žiadnym iným právne prípustným spôsobom predávajúci neposkytne práva k takejto pohľadávke tretej osobe. Písomný súhlas kupujúceho s týmito úkonmi je zároveň platný len za podmienky, že bol na tento úkon udelený predchádzajúci písomný súhlas Ministerstva zdravotníctva SR. V prípade, že dôjde zo strany predávajúceho k porušeniu tejto povinnosti a svoje práva a povinnosti z tejto zmluvy postúpi, resp. prijme ručenie tretej osobe bez súhlasu protistrany, bude sa takýto úkon považovať za absolútne neplatný a neúčinný voči kupujúcemu.</w:t>
      </w:r>
    </w:p>
    <w:p w14:paraId="5E29F35B" w14:textId="77777777" w:rsidR="006F0076" w:rsidRPr="006F0076" w:rsidRDefault="006F0076" w:rsidP="006F007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C112022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80AA1B4" w14:textId="0AEA38DB" w:rsidR="00D73323" w:rsidRDefault="00D733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693E174" w14:textId="77777777" w:rsidR="00D73323" w:rsidRDefault="00D733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023D0C51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0E257C" w14:textId="77777777" w:rsidR="00D73323" w:rsidRPr="00B30023" w:rsidRDefault="00D73323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5668544A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dňa 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B7688B9" w:rsidR="0086272F" w:rsidRPr="006337D8" w:rsidRDefault="0086272F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60D9" w14:textId="77777777" w:rsidR="006E6E9C" w:rsidRDefault="006E6E9C" w:rsidP="00A0694E">
      <w:r>
        <w:separator/>
      </w:r>
    </w:p>
  </w:endnote>
  <w:endnote w:type="continuationSeparator" w:id="0">
    <w:p w14:paraId="027A6CE7" w14:textId="77777777" w:rsidR="006E6E9C" w:rsidRDefault="006E6E9C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7509" w14:textId="77777777" w:rsidR="006E6E9C" w:rsidRDefault="006E6E9C" w:rsidP="00A0694E">
      <w:r>
        <w:separator/>
      </w:r>
    </w:p>
  </w:footnote>
  <w:footnote w:type="continuationSeparator" w:id="0">
    <w:p w14:paraId="2B8D64A1" w14:textId="77777777" w:rsidR="006E6E9C" w:rsidRDefault="006E6E9C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9095A"/>
    <w:rsid w:val="000A1683"/>
    <w:rsid w:val="000A267D"/>
    <w:rsid w:val="000A358C"/>
    <w:rsid w:val="000C7921"/>
    <w:rsid w:val="00107F5C"/>
    <w:rsid w:val="00116CB1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C76A9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9399C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D5F67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E6E9C"/>
    <w:rsid w:val="006F0076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6272F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9422D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3323"/>
    <w:rsid w:val="00D76346"/>
    <w:rsid w:val="00D767DD"/>
    <w:rsid w:val="00D84DFB"/>
    <w:rsid w:val="00D94979"/>
    <w:rsid w:val="00D96D46"/>
    <w:rsid w:val="00DA23D2"/>
    <w:rsid w:val="00DA5ACD"/>
    <w:rsid w:val="00DC144F"/>
    <w:rsid w:val="00DC611C"/>
    <w:rsid w:val="00DC6609"/>
    <w:rsid w:val="00DC6C3A"/>
    <w:rsid w:val="00DC7986"/>
    <w:rsid w:val="00DD733B"/>
    <w:rsid w:val="00DD75F1"/>
    <w:rsid w:val="00DE0EDA"/>
    <w:rsid w:val="00E0481C"/>
    <w:rsid w:val="00E071DD"/>
    <w:rsid w:val="00E31632"/>
    <w:rsid w:val="00E4113D"/>
    <w:rsid w:val="00E766B4"/>
    <w:rsid w:val="00E7781C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D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4451</Words>
  <Characters>25374</Characters>
  <Application>Microsoft Office Word</Application>
  <DocSecurity>0</DocSecurity>
  <Lines>211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Fakultná nemocnica Trenčín</cp:lastModifiedBy>
  <cp:revision>3</cp:revision>
  <cp:lastPrinted>2021-01-12T09:53:00Z</cp:lastPrinted>
  <dcterms:created xsi:type="dcterms:W3CDTF">2022-03-18T08:51:00Z</dcterms:created>
  <dcterms:modified xsi:type="dcterms:W3CDTF">2022-03-18T08:51:00Z</dcterms:modified>
</cp:coreProperties>
</file>