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2166EBF3"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04674B">
        <w:rPr>
          <w:rFonts w:cs="Arial Narrow"/>
          <w:b/>
          <w:szCs w:val="22"/>
        </w:rPr>
        <w:t xml:space="preserve">najneskôr do </w:t>
      </w:r>
      <w:r w:rsidR="0049658B" w:rsidRPr="0004674B">
        <w:rPr>
          <w:rFonts w:cs="Arial Narrow"/>
          <w:b/>
          <w:szCs w:val="22"/>
        </w:rPr>
        <w:t>270</w:t>
      </w:r>
      <w:r w:rsidR="000760D7" w:rsidRPr="0004674B">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do </w:t>
      </w:r>
      <w:r w:rsidR="003A5F56" w:rsidRPr="006D5153">
        <w:rPr>
          <w:rFonts w:cs="Arial Narrow"/>
          <w:szCs w:val="22"/>
          <w:highlight w:val="green"/>
        </w:rPr>
        <w:t>120</w:t>
      </w:r>
      <w:r w:rsidR="007446D3" w:rsidRPr="0004674B">
        <w:rPr>
          <w:rFonts w:cs="Arial Narrow"/>
          <w:szCs w:val="22"/>
        </w:rPr>
        <w:t xml:space="preserve"> dní od nadobudnutia účin</w:t>
      </w:r>
      <w:r w:rsidR="00B7437F" w:rsidRPr="0004674B">
        <w:rPr>
          <w:rFonts w:cs="Arial Narrow"/>
          <w:szCs w:val="22"/>
        </w:rPr>
        <w:t>n</w:t>
      </w:r>
      <w:r w:rsidR="007446D3" w:rsidRPr="0004674B">
        <w:rPr>
          <w:rFonts w:cs="Arial Narrow"/>
          <w:szCs w:val="22"/>
        </w:rPr>
        <w:t>osti zmluvy</w:t>
      </w:r>
    </w:p>
    <w:p w14:paraId="245DE6CF" w14:textId="48117106" w:rsidR="00F25C58" w:rsidRPr="0004674B" w:rsidRDefault="003A5F56" w:rsidP="00343CC2">
      <w:pPr>
        <w:tabs>
          <w:tab w:val="right" w:leader="dot" w:pos="9000"/>
          <w:tab w:val="left" w:leader="dot" w:pos="10034"/>
        </w:tabs>
        <w:spacing w:after="120"/>
        <w:ind w:left="644"/>
        <w:jc w:val="both"/>
        <w:rPr>
          <w:rFonts w:cs="Arial Narrow"/>
          <w:szCs w:val="22"/>
        </w:rPr>
      </w:pPr>
      <w:r>
        <w:rPr>
          <w:rFonts w:cs="Arial Narrow"/>
          <w:szCs w:val="22"/>
        </w:rPr>
        <w:t xml:space="preserve">2. 40% do </w:t>
      </w:r>
      <w:r w:rsidRPr="006D5153">
        <w:rPr>
          <w:rFonts w:cs="Arial Narrow"/>
          <w:szCs w:val="22"/>
          <w:highlight w:val="green"/>
        </w:rPr>
        <w:t>210</w:t>
      </w:r>
      <w:r w:rsidR="00F25C58" w:rsidRPr="0004674B">
        <w:rPr>
          <w:rFonts w:cs="Arial Narrow"/>
          <w:szCs w:val="22"/>
        </w:rPr>
        <w:t xml:space="preserve"> dní od nadobudnutia účin</w:t>
      </w:r>
      <w:r w:rsidR="00B7437F" w:rsidRPr="0004674B">
        <w:rPr>
          <w:rFonts w:cs="Arial Narrow"/>
          <w:szCs w:val="22"/>
        </w:rPr>
        <w:t>n</w:t>
      </w:r>
      <w:r w:rsidR="00F25C58" w:rsidRPr="0004674B">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3. 30% do </w:t>
      </w:r>
      <w:r w:rsidR="003A5F56" w:rsidRPr="006D5153">
        <w:rPr>
          <w:rFonts w:cs="Arial Narrow"/>
          <w:szCs w:val="22"/>
          <w:highlight w:val="green"/>
        </w:rPr>
        <w:t>300</w:t>
      </w:r>
      <w:r w:rsidRPr="0004674B">
        <w:rPr>
          <w:rFonts w:cs="Arial Narrow"/>
          <w:szCs w:val="22"/>
        </w:rPr>
        <w:t xml:space="preserve"> dní od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54021D54" w:rsidR="00EA04EB" w:rsidRPr="0004674B"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stanovil </w:t>
      </w:r>
      <w:r w:rsidRPr="00246179">
        <w:rPr>
          <w:rFonts w:cstheme="minorHAnsi"/>
          <w:b/>
          <w:szCs w:val="22"/>
        </w:rPr>
        <w:t xml:space="preserve">do </w:t>
      </w:r>
      <w:r w:rsidR="00156F7D">
        <w:rPr>
          <w:rFonts w:cstheme="minorHAnsi"/>
          <w:b/>
          <w:szCs w:val="22"/>
          <w:highlight w:val="green"/>
        </w:rPr>
        <w:t>13</w:t>
      </w:r>
      <w:r w:rsidR="001044C6" w:rsidRPr="00603E4D">
        <w:rPr>
          <w:rFonts w:cstheme="minorHAnsi"/>
          <w:b/>
          <w:szCs w:val="22"/>
          <w:highlight w:val="green"/>
        </w:rPr>
        <w:t>.</w:t>
      </w:r>
      <w:r w:rsidR="00B938D2" w:rsidRPr="00603E4D">
        <w:rPr>
          <w:rFonts w:cstheme="minorHAnsi"/>
          <w:b/>
          <w:szCs w:val="22"/>
          <w:highlight w:val="green"/>
        </w:rPr>
        <w:t>0</w:t>
      </w:r>
      <w:r w:rsidR="006D5153">
        <w:rPr>
          <w:rFonts w:cstheme="minorHAnsi"/>
          <w:b/>
          <w:szCs w:val="22"/>
          <w:highlight w:val="green"/>
        </w:rPr>
        <w:t>6</w:t>
      </w:r>
      <w:r w:rsidR="00D4369D" w:rsidRPr="00603E4D">
        <w:rPr>
          <w:rFonts w:cstheme="minorHAnsi"/>
          <w:b/>
          <w:szCs w:val="22"/>
          <w:highlight w:val="green"/>
        </w:rPr>
        <w:t>. 20</w:t>
      </w:r>
      <w:r w:rsidR="00F67056" w:rsidRPr="00603E4D">
        <w:rPr>
          <w:rFonts w:cstheme="minorHAnsi"/>
          <w:b/>
          <w:szCs w:val="22"/>
          <w:highlight w:val="green"/>
        </w:rPr>
        <w:t>2</w:t>
      </w:r>
      <w:r w:rsidR="00B938D2" w:rsidRPr="00603E4D">
        <w:rPr>
          <w:rFonts w:cstheme="minorHAnsi"/>
          <w:b/>
          <w:szCs w:val="22"/>
          <w:highlight w:val="green"/>
        </w:rPr>
        <w:t>2</w:t>
      </w:r>
      <w:r w:rsidRPr="00246179">
        <w:rPr>
          <w:rFonts w:cstheme="minorHAnsi"/>
          <w:b/>
          <w:szCs w:val="22"/>
        </w:rPr>
        <w:t xml:space="preserve"> do</w:t>
      </w:r>
      <w:r w:rsidRPr="0004674B">
        <w:rPr>
          <w:rFonts w:cstheme="minorHAnsi"/>
          <w:b/>
          <w:szCs w:val="22"/>
        </w:rPr>
        <w:t xml:space="preserve"> 10:00:00</w:t>
      </w:r>
      <w:r w:rsidRPr="0004674B">
        <w:rPr>
          <w:rFonts w:cstheme="minorHAnsi"/>
          <w:szCs w:val="22"/>
        </w:rPr>
        <w:t xml:space="preserve"> miestneho času. </w:t>
      </w:r>
    </w:p>
    <w:p w14:paraId="102251E2" w14:textId="77777777" w:rsidR="00482211"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Otváranie ponúk</w:t>
      </w:r>
    </w:p>
    <w:p w14:paraId="0FAC1489" w14:textId="69923CBC"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Otváranie ponúk </w:t>
      </w:r>
      <w:r w:rsidR="005F1E21" w:rsidRPr="0004674B">
        <w:rPr>
          <w:rFonts w:cstheme="minorHAnsi"/>
          <w:szCs w:val="22"/>
        </w:rPr>
        <w:t>s</w:t>
      </w:r>
      <w:r w:rsidRPr="0004674B">
        <w:rPr>
          <w:rFonts w:cstheme="minorHAnsi"/>
          <w:szCs w:val="22"/>
        </w:rPr>
        <w:t xml:space="preserve">a uskutoční </w:t>
      </w:r>
      <w:r w:rsidRPr="00C1039C">
        <w:rPr>
          <w:rFonts w:cstheme="minorHAnsi"/>
          <w:szCs w:val="22"/>
        </w:rPr>
        <w:t xml:space="preserve">sa </w:t>
      </w:r>
      <w:r w:rsidRPr="00C1039C">
        <w:rPr>
          <w:rFonts w:cstheme="minorHAnsi"/>
          <w:b/>
          <w:szCs w:val="22"/>
        </w:rPr>
        <w:t xml:space="preserve">dňa </w:t>
      </w:r>
      <w:r w:rsidR="00156F7D">
        <w:rPr>
          <w:rFonts w:cstheme="minorHAnsi"/>
          <w:b/>
          <w:szCs w:val="22"/>
          <w:highlight w:val="green"/>
        </w:rPr>
        <w:t>13</w:t>
      </w:r>
      <w:r w:rsidR="001044C6" w:rsidRPr="00603E4D">
        <w:rPr>
          <w:rFonts w:cstheme="minorHAnsi"/>
          <w:b/>
          <w:szCs w:val="22"/>
          <w:highlight w:val="green"/>
        </w:rPr>
        <w:t>.</w:t>
      </w:r>
      <w:r w:rsidR="005F1E21" w:rsidRPr="00603E4D">
        <w:rPr>
          <w:rFonts w:cstheme="minorHAnsi"/>
          <w:b/>
          <w:szCs w:val="22"/>
          <w:highlight w:val="green"/>
        </w:rPr>
        <w:t>0</w:t>
      </w:r>
      <w:r w:rsidR="006D5153">
        <w:rPr>
          <w:rFonts w:cstheme="minorHAnsi"/>
          <w:b/>
          <w:szCs w:val="22"/>
          <w:highlight w:val="green"/>
        </w:rPr>
        <w:t>6</w:t>
      </w:r>
      <w:r w:rsidR="00D4369D" w:rsidRPr="00603E4D">
        <w:rPr>
          <w:rFonts w:cstheme="minorHAnsi"/>
          <w:b/>
          <w:szCs w:val="22"/>
          <w:highlight w:val="green"/>
        </w:rPr>
        <w:t>.20</w:t>
      </w:r>
      <w:r w:rsidR="00CF49A1" w:rsidRPr="00603E4D">
        <w:rPr>
          <w:rFonts w:cstheme="minorHAnsi"/>
          <w:b/>
          <w:szCs w:val="22"/>
          <w:highlight w:val="green"/>
        </w:rPr>
        <w:t>2</w:t>
      </w:r>
      <w:r w:rsidR="005F1E21" w:rsidRPr="00603E4D">
        <w:rPr>
          <w:rFonts w:cstheme="minorHAnsi"/>
          <w:b/>
          <w:szCs w:val="22"/>
          <w:highlight w:val="green"/>
        </w:rPr>
        <w:t>2</w:t>
      </w:r>
      <w:r w:rsidRPr="00C1039C">
        <w:rPr>
          <w:rFonts w:cstheme="minorHAnsi"/>
          <w:b/>
          <w:szCs w:val="22"/>
        </w:rPr>
        <w:t xml:space="preserve"> o</w:t>
      </w:r>
      <w:r w:rsidR="008D1236" w:rsidRPr="00C1039C">
        <w:rPr>
          <w:rFonts w:cstheme="minorHAnsi"/>
          <w:b/>
          <w:szCs w:val="22"/>
        </w:rPr>
        <w:t> </w:t>
      </w:r>
      <w:r w:rsidRPr="00C1039C">
        <w:rPr>
          <w:rFonts w:cstheme="minorHAnsi"/>
          <w:b/>
          <w:szCs w:val="22"/>
        </w:rPr>
        <w:t>1</w:t>
      </w:r>
      <w:r w:rsidR="00C1039C" w:rsidRPr="00C1039C">
        <w:rPr>
          <w:rFonts w:cstheme="minorHAnsi"/>
          <w:b/>
          <w:szCs w:val="22"/>
        </w:rPr>
        <w:t>4</w:t>
      </w:r>
      <w:r w:rsidRPr="00C1039C">
        <w:rPr>
          <w:rFonts w:cstheme="minorHAnsi"/>
          <w:b/>
          <w:szCs w:val="22"/>
        </w:rPr>
        <w:t>:00 hod</w:t>
      </w:r>
      <w:r w:rsidRPr="0004674B">
        <w:rPr>
          <w:rFonts w:cstheme="minorHAnsi"/>
          <w:szCs w:val="22"/>
        </w:rPr>
        <w:t xml:space="preserve">. </w:t>
      </w:r>
      <w:r w:rsidR="00C3613C" w:rsidRPr="0004674B">
        <w:rPr>
          <w:rFonts w:cstheme="minorHAnsi"/>
          <w:szCs w:val="22"/>
        </w:rPr>
        <w:t>miestneho času</w:t>
      </w:r>
      <w:r w:rsidRPr="0004674B">
        <w:rPr>
          <w:rFonts w:cstheme="minorHAnsi"/>
          <w:szCs w:val="22"/>
        </w:rPr>
        <w:t xml:space="preserve"> </w:t>
      </w:r>
      <w:r w:rsidR="00EB6DAC" w:rsidRPr="0004674B">
        <w:rPr>
          <w:rFonts w:cstheme="minorHAnsi"/>
          <w:szCs w:val="22"/>
        </w:rPr>
        <w:t>elek</w:t>
      </w:r>
      <w:r w:rsidR="0004674B">
        <w:rPr>
          <w:rFonts w:cstheme="minorHAnsi"/>
          <w:szCs w:val="22"/>
        </w:rPr>
        <w:t>t</w:t>
      </w:r>
      <w:r w:rsidR="00EB6DAC" w:rsidRPr="0004674B">
        <w:rPr>
          <w:rFonts w:cstheme="minorHAnsi"/>
          <w:szCs w:val="22"/>
        </w:rPr>
        <w:t xml:space="preserve">ronicky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04674B" w:rsidRDefault="00D52734" w:rsidP="0035167A">
            <w:pPr>
              <w:rPr>
                <w:rFonts w:cs="Calibri"/>
                <w:color w:val="000000"/>
              </w:rPr>
            </w:pPr>
            <w:r w:rsidRPr="00156F7D">
              <w:rPr>
                <w:rFonts w:cs="Calibri"/>
                <w:color w:val="000000"/>
                <w:highlight w:val="green"/>
              </w:rPr>
              <w:t>Áno</w:t>
            </w:r>
            <w:r w:rsidRPr="00156F7D">
              <w:rPr>
                <w:highlight w:val="green"/>
              </w:rPr>
              <w:t xml:space="preserve"> </w:t>
            </w:r>
            <w:r w:rsidRPr="00156F7D">
              <w:rPr>
                <w:rFonts w:cs="Calibri"/>
                <w:color w:val="000000"/>
                <w:highlight w:val="green"/>
              </w:rPr>
              <w:t xml:space="preserve">,je možné riešiť aj externou čítačkou kariet (jedná sa o </w:t>
            </w:r>
            <w:proofErr w:type="spellStart"/>
            <w:r w:rsidRPr="00156F7D">
              <w:rPr>
                <w:rFonts w:cs="Calibri"/>
                <w:color w:val="000000"/>
                <w:highlight w:val="green"/>
              </w:rPr>
              <w:t>čípové</w:t>
            </w:r>
            <w:proofErr w:type="spellEnd"/>
            <w:r w:rsidRPr="00156F7D">
              <w:rPr>
                <w:rFonts w:cs="Calibri"/>
                <w:color w:val="000000"/>
                <w:highlight w:val="green"/>
              </w:rPr>
              <w:t xml:space="preserve">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04674B"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04674B"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04674B" w:rsidRDefault="000C23B8" w:rsidP="0035167A">
            <w:pPr>
              <w:rPr>
                <w:rFonts w:cs="Calibri"/>
                <w:color w:val="000000"/>
              </w:rPr>
            </w:pPr>
            <w:proofErr w:type="spellStart"/>
            <w:r w:rsidRPr="00156F7D">
              <w:rPr>
                <w:rFonts w:cs="Calibri"/>
                <w:color w:val="000000"/>
                <w:highlight w:val="green"/>
              </w:rPr>
              <w:t>Lithium-Ion</w:t>
            </w:r>
            <w:proofErr w:type="spellEnd"/>
            <w:r w:rsidR="00D52734" w:rsidRPr="00156F7D">
              <w:rPr>
                <w:rFonts w:cs="Calibri"/>
                <w:color w:val="000000"/>
                <w:highlight w:val="green"/>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04674B"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77777777" w:rsidR="000C23B8" w:rsidRPr="0004674B" w:rsidRDefault="000C23B8" w:rsidP="0035167A">
            <w:pPr>
              <w:rPr>
                <w:rFonts w:cs="Calibri"/>
                <w:color w:val="000000"/>
              </w:rPr>
            </w:pPr>
            <w:r w:rsidRPr="0004674B">
              <w:rPr>
                <w:rFonts w:cs="Calibri"/>
                <w:color w:val="000000"/>
              </w:rPr>
              <w:t>Minimálne 45 Wh</w:t>
            </w:r>
          </w:p>
        </w:tc>
        <w:tc>
          <w:tcPr>
            <w:tcW w:w="3532" w:type="dxa"/>
            <w:tcBorders>
              <w:top w:val="nil"/>
              <w:left w:val="nil"/>
              <w:bottom w:val="single" w:sz="8" w:space="0" w:color="auto"/>
              <w:right w:val="single" w:sz="8" w:space="0" w:color="auto"/>
            </w:tcBorders>
          </w:tcPr>
          <w:p w14:paraId="14336A55" w14:textId="77777777" w:rsidR="000C23B8" w:rsidRPr="0004674B"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04674B"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04674B"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04674B"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04674B"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04674B"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04674B"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04674B"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04674B"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04674B" w:rsidRDefault="000C23B8" w:rsidP="0035167A">
            <w:pPr>
              <w:rPr>
                <w:rFonts w:cs="Calibri"/>
                <w:color w:val="222222"/>
              </w:rPr>
            </w:pPr>
          </w:p>
        </w:tc>
      </w:tr>
      <w:tr w:rsidR="000C23B8"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0C23B8" w:rsidRPr="0004674B" w:rsidRDefault="000C23B8"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3B237B0A" w:rsidR="000C23B8" w:rsidRPr="0004674B" w:rsidRDefault="003A5F56" w:rsidP="00996497">
            <w:pPr>
              <w:rPr>
                <w:rFonts w:cs="Calibri"/>
                <w:color w:val="000000"/>
              </w:rPr>
            </w:pPr>
            <w:r>
              <w:rPr>
                <w:rFonts w:cs="Calibri"/>
                <w:color w:val="000000"/>
              </w:rPr>
              <w:t>maximálne 360,0 x 240,0 x 20,0</w:t>
            </w:r>
            <w:r w:rsidR="000C23B8" w:rsidRPr="0004674B">
              <w:rPr>
                <w:rFonts w:cs="Calibri"/>
                <w:color w:val="000000"/>
              </w:rPr>
              <w:t xml:space="preserve"> mm</w:t>
            </w:r>
            <w:r>
              <w:rPr>
                <w:rFonts w:cs="Calibri"/>
                <w:color w:val="000000"/>
              </w:rPr>
              <w:t xml:space="preserve"> + </w:t>
            </w:r>
            <w:r w:rsidRPr="00156F7D">
              <w:rPr>
                <w:rFonts w:cs="Calibri"/>
                <w:color w:val="000000"/>
                <w:highlight w:val="green"/>
              </w:rPr>
              <w:t>odchýlka do max 5% v parametri H,V</w:t>
            </w:r>
            <w:r w:rsidR="00996497">
              <w:rPr>
                <w:rFonts w:cs="Calibri"/>
                <w:color w:val="000000"/>
              </w:rPr>
              <w:t xml:space="preserve"> </w:t>
            </w:r>
          </w:p>
        </w:tc>
        <w:tc>
          <w:tcPr>
            <w:tcW w:w="3532" w:type="dxa"/>
            <w:tcBorders>
              <w:top w:val="nil"/>
              <w:left w:val="nil"/>
              <w:bottom w:val="single" w:sz="8" w:space="0" w:color="auto"/>
              <w:right w:val="single" w:sz="8" w:space="0" w:color="auto"/>
            </w:tcBorders>
          </w:tcPr>
          <w:p w14:paraId="15C4A456" w14:textId="77777777" w:rsidR="000C23B8" w:rsidRPr="0004674B" w:rsidRDefault="000C23B8" w:rsidP="0035167A">
            <w:pPr>
              <w:rPr>
                <w:rFonts w:cs="Calibri"/>
                <w:color w:val="000000"/>
              </w:rPr>
            </w:pPr>
          </w:p>
        </w:tc>
      </w:tr>
      <w:tr w:rsidR="000C23B8"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0C23B8" w:rsidRPr="0004674B" w:rsidRDefault="000C23B8"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0C23B8" w:rsidRPr="0004674B" w:rsidRDefault="000C23B8" w:rsidP="0035167A">
            <w:pPr>
              <w:rPr>
                <w:rFonts w:cs="Calibri"/>
                <w:color w:val="000000"/>
              </w:rPr>
            </w:pPr>
            <w:r w:rsidRPr="0004674B">
              <w:rPr>
                <w:rFonts w:cs="Calibri"/>
                <w:color w:val="000000"/>
              </w:rPr>
              <w:t>Maximálne 1,</w:t>
            </w:r>
            <w:r w:rsidR="00BA00D3" w:rsidRPr="0004674B">
              <w:rPr>
                <w:rFonts w:cs="Calibri"/>
                <w:color w:val="000000"/>
              </w:rPr>
              <w:t>8</w:t>
            </w:r>
            <w:r w:rsidRPr="0004674B">
              <w:rPr>
                <w:rFonts w:cs="Calibri"/>
                <w:color w:val="000000"/>
              </w:rPr>
              <w:t xml:space="preserve"> Kg</w:t>
            </w:r>
          </w:p>
        </w:tc>
        <w:tc>
          <w:tcPr>
            <w:tcW w:w="3532" w:type="dxa"/>
            <w:tcBorders>
              <w:top w:val="nil"/>
              <w:left w:val="nil"/>
              <w:bottom w:val="single" w:sz="8" w:space="0" w:color="auto"/>
              <w:right w:val="single" w:sz="8" w:space="0" w:color="auto"/>
            </w:tcBorders>
          </w:tcPr>
          <w:p w14:paraId="4DD4D3AF" w14:textId="77777777" w:rsidR="000C23B8" w:rsidRPr="0004674B" w:rsidRDefault="000C23B8" w:rsidP="0035167A">
            <w:pPr>
              <w:rPr>
                <w:rFonts w:cs="Calibri"/>
                <w:color w:val="000000"/>
              </w:rPr>
            </w:pPr>
          </w:p>
        </w:tc>
      </w:tr>
      <w:tr w:rsidR="000C23B8"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0C23B8" w:rsidRPr="0004674B" w:rsidRDefault="000C23B8"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0C23B8" w:rsidRPr="0004674B" w:rsidRDefault="000C23B8" w:rsidP="0035167A">
            <w:pPr>
              <w:rPr>
                <w:rFonts w:cs="Calibri"/>
                <w:color w:val="000000"/>
              </w:rPr>
            </w:pPr>
          </w:p>
        </w:tc>
      </w:tr>
      <w:tr w:rsidR="000C23B8"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0C23B8" w:rsidRPr="0004674B" w:rsidRDefault="000C23B8" w:rsidP="0035167A">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0C23B8" w:rsidRPr="0004674B" w:rsidRDefault="000C23B8"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0C23B8" w:rsidRPr="0004674B" w:rsidRDefault="000C23B8" w:rsidP="0035167A">
            <w:pPr>
              <w:rPr>
                <w:rFonts w:cs="Calibri"/>
                <w:color w:val="000000"/>
              </w:rPr>
            </w:pPr>
          </w:p>
        </w:tc>
      </w:tr>
      <w:tr w:rsidR="000C23B8"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0C23B8" w:rsidRPr="0004674B" w:rsidRDefault="000C23B8"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0C23B8" w:rsidRPr="00156F7D" w:rsidRDefault="000C23B8" w:rsidP="0035167A">
            <w:pPr>
              <w:rPr>
                <w:rFonts w:cs="Calibri"/>
                <w:color w:val="000000"/>
                <w:highlight w:val="green"/>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r w:rsidR="003A5F56">
              <w:rPr>
                <w:rFonts w:cs="Calibri"/>
                <w:color w:val="000000"/>
              </w:rPr>
              <w:t xml:space="preserve"> </w:t>
            </w:r>
            <w:r w:rsidR="003A5F56" w:rsidRPr="00156F7D">
              <w:rPr>
                <w:rFonts w:cs="Calibri"/>
                <w:color w:val="000000"/>
                <w:highlight w:val="green"/>
              </w:rPr>
              <w:t>(možnosť alternatívy v</w:t>
            </w:r>
            <w:r w:rsidR="00996497" w:rsidRPr="00156F7D">
              <w:rPr>
                <w:rFonts w:cs="Calibri"/>
                <w:color w:val="000000"/>
                <w:highlight w:val="green"/>
              </w:rPr>
              <w:t> </w:t>
            </w:r>
            <w:r w:rsidR="003A5F56" w:rsidRPr="00156F7D">
              <w:rPr>
                <w:rFonts w:cs="Calibri"/>
                <w:color w:val="000000"/>
                <w:highlight w:val="green"/>
              </w:rPr>
              <w:t>podobe</w:t>
            </w:r>
            <w:r w:rsidR="00996497" w:rsidRPr="00156F7D">
              <w:rPr>
                <w:rFonts w:cs="Calibri"/>
                <w:color w:val="000000"/>
                <w:highlight w:val="green"/>
              </w:rPr>
              <w:t xml:space="preserve"> </w:t>
            </w:r>
            <w:proofErr w:type="spellStart"/>
            <w:r w:rsidR="00996497" w:rsidRPr="00156F7D">
              <w:rPr>
                <w:rFonts w:cs="Calibri"/>
                <w:color w:val="000000"/>
                <w:highlight w:val="green"/>
              </w:rPr>
              <w:t>bioplastu</w:t>
            </w:r>
            <w:proofErr w:type="spellEnd"/>
            <w:r w:rsidR="00996497" w:rsidRPr="00156F7D">
              <w:rPr>
                <w:rFonts w:cs="Calibri"/>
                <w:color w:val="000000"/>
                <w:highlight w:val="green"/>
              </w:rPr>
              <w:t xml:space="preserve"> a materiálov s prihliadnutím na ich ekologickosť a </w:t>
            </w:r>
            <w:proofErr w:type="spellStart"/>
            <w:r w:rsidR="00996497" w:rsidRPr="00156F7D">
              <w:rPr>
                <w:rFonts w:cs="Calibri"/>
                <w:color w:val="000000"/>
                <w:highlight w:val="green"/>
              </w:rPr>
              <w:t>recyklovateľnosť</w:t>
            </w:r>
            <w:proofErr w:type="spellEnd"/>
            <w:r w:rsidR="00996497" w:rsidRPr="00156F7D">
              <w:rPr>
                <w:rFonts w:cs="Calibri"/>
                <w:color w:val="000000"/>
                <w:highlight w:val="green"/>
              </w:rPr>
              <w:t>)</w:t>
            </w:r>
          </w:p>
          <w:p w14:paraId="464246F7" w14:textId="5BDBFEB8" w:rsidR="00996497" w:rsidRPr="0004674B" w:rsidRDefault="00996497" w:rsidP="0035167A">
            <w:pPr>
              <w:rPr>
                <w:rFonts w:cs="Calibri"/>
                <w:color w:val="000000"/>
              </w:rPr>
            </w:pPr>
            <w:r w:rsidRPr="00156F7D">
              <w:rPr>
                <w:rFonts w:cs="Calibri"/>
                <w:color w:val="000000"/>
                <w:highlight w:val="green"/>
              </w:rPr>
              <w:t xml:space="preserve">Splnenie </w:t>
            </w:r>
            <w:proofErr w:type="spellStart"/>
            <w:r w:rsidRPr="00156F7D">
              <w:rPr>
                <w:rFonts w:cs="Calibri"/>
                <w:color w:val="000000"/>
                <w:highlight w:val="green"/>
              </w:rPr>
              <w:t>odolnostných</w:t>
            </w:r>
            <w:proofErr w:type="spellEnd"/>
            <w:r w:rsidRPr="00156F7D">
              <w:rPr>
                <w:rFonts w:cs="Calibri"/>
                <w:color w:val="000000"/>
                <w:highlight w:val="green"/>
              </w:rPr>
              <w:t xml:space="preserve"> noriem</w:t>
            </w:r>
          </w:p>
        </w:tc>
        <w:tc>
          <w:tcPr>
            <w:tcW w:w="3532" w:type="dxa"/>
            <w:tcBorders>
              <w:top w:val="nil"/>
              <w:left w:val="nil"/>
              <w:bottom w:val="single" w:sz="8" w:space="0" w:color="auto"/>
              <w:right w:val="single" w:sz="8" w:space="0" w:color="auto"/>
            </w:tcBorders>
          </w:tcPr>
          <w:p w14:paraId="29AC3DF9" w14:textId="77777777" w:rsidR="000C23B8" w:rsidRPr="0004674B" w:rsidRDefault="000C23B8"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04674B" w:rsidRDefault="00EB1C1F"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04674B"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04674B"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04674B" w:rsidRDefault="00D52734" w:rsidP="0035167A">
            <w:pPr>
              <w:rPr>
                <w:rFonts w:cs="Calibri"/>
                <w:color w:val="000000"/>
              </w:rPr>
            </w:pPr>
            <w:r w:rsidRPr="00156F7D">
              <w:rPr>
                <w:rFonts w:cs="Calibri"/>
                <w:color w:val="000000"/>
                <w:highlight w:val="green"/>
              </w:rPr>
              <w:t>Áno</w:t>
            </w:r>
            <w:r w:rsidRPr="00156F7D">
              <w:rPr>
                <w:highlight w:val="green"/>
              </w:rPr>
              <w:t xml:space="preserve"> </w:t>
            </w:r>
            <w:r w:rsidRPr="00156F7D">
              <w:rPr>
                <w:rFonts w:cs="Calibri"/>
                <w:color w:val="000000"/>
                <w:highlight w:val="green"/>
              </w:rPr>
              <w:t xml:space="preserve">,je možné riešiť aj externou čítačkou kariet (jedná sa o </w:t>
            </w:r>
            <w:proofErr w:type="spellStart"/>
            <w:r w:rsidRPr="00156F7D">
              <w:rPr>
                <w:rFonts w:cs="Calibri"/>
                <w:color w:val="000000"/>
                <w:highlight w:val="green"/>
              </w:rPr>
              <w:t>čípové</w:t>
            </w:r>
            <w:proofErr w:type="spellEnd"/>
            <w:r w:rsidRPr="00156F7D">
              <w:rPr>
                <w:rFonts w:cs="Calibri"/>
                <w:color w:val="000000"/>
                <w:highlight w:val="green"/>
              </w:rPr>
              <w:t xml:space="preserve"> karty)</w:t>
            </w:r>
          </w:p>
        </w:tc>
        <w:tc>
          <w:tcPr>
            <w:tcW w:w="3532" w:type="dxa"/>
            <w:tcBorders>
              <w:top w:val="nil"/>
              <w:left w:val="nil"/>
              <w:bottom w:val="single" w:sz="8" w:space="0" w:color="auto"/>
              <w:right w:val="single" w:sz="8" w:space="0" w:color="auto"/>
            </w:tcBorders>
          </w:tcPr>
          <w:p w14:paraId="5E1997A9" w14:textId="77777777" w:rsidR="00EB1C1F" w:rsidRPr="0004674B"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04674B"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04674B"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04674B"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04674B"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04674B"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04674B" w:rsidRDefault="00EB1C1F" w:rsidP="0035167A">
            <w:pPr>
              <w:rPr>
                <w:rFonts w:cs="Calibri"/>
                <w:color w:val="222222"/>
              </w:rPr>
            </w:pPr>
            <w:r w:rsidRPr="0004674B">
              <w:rPr>
                <w:rFonts w:cs="Calibri"/>
                <w:color w:val="222222"/>
              </w:rPr>
              <w:t>Áno</w:t>
            </w:r>
            <w:r w:rsidR="00996497">
              <w:rPr>
                <w:rFonts w:cs="Calibri"/>
                <w:color w:val="222222"/>
              </w:rPr>
              <w:t xml:space="preserve"> </w:t>
            </w:r>
            <w:r w:rsidR="00996497" w:rsidRPr="00156F7D">
              <w:rPr>
                <w:rFonts w:cs="Calibri"/>
                <w:color w:val="222222"/>
                <w:highlight w:val="green"/>
              </w:rPr>
              <w:t>(alternatíva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04674B"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04674B" w:rsidRDefault="00EB1C1F"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04674B"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04674B"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04674B"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04674B"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04674B"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04674B"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04674B" w:rsidRDefault="00D52734" w:rsidP="00D52734">
            <w:pPr>
              <w:rPr>
                <w:rFonts w:cs="Calibri"/>
                <w:color w:val="000000"/>
              </w:rPr>
            </w:pPr>
            <w:proofErr w:type="spellStart"/>
            <w:r w:rsidRPr="00156F7D">
              <w:rPr>
                <w:rFonts w:cs="Calibri"/>
                <w:color w:val="000000"/>
                <w:highlight w:val="green"/>
              </w:rPr>
              <w:t>Lithium-Ion</w:t>
            </w:r>
            <w:proofErr w:type="spellEnd"/>
            <w:r w:rsidRPr="00156F7D">
              <w:rPr>
                <w:rFonts w:cs="Calibri"/>
                <w:color w:val="000000"/>
                <w:highlight w:val="green"/>
              </w:rPr>
              <w:t xml:space="preserve"> a modernejšie typy</w:t>
            </w:r>
          </w:p>
        </w:tc>
        <w:tc>
          <w:tcPr>
            <w:tcW w:w="3532" w:type="dxa"/>
            <w:tcBorders>
              <w:top w:val="nil"/>
              <w:left w:val="nil"/>
              <w:bottom w:val="single" w:sz="8" w:space="0" w:color="auto"/>
              <w:right w:val="single" w:sz="8" w:space="0" w:color="auto"/>
            </w:tcBorders>
          </w:tcPr>
          <w:p w14:paraId="39AD132F" w14:textId="77777777" w:rsidR="00D52734" w:rsidRPr="0004674B"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7777777" w:rsidR="00D52734" w:rsidRPr="0004674B" w:rsidRDefault="00D52734" w:rsidP="00D52734">
            <w:pPr>
              <w:rPr>
                <w:rFonts w:cs="Calibri"/>
                <w:color w:val="000000"/>
              </w:rPr>
            </w:pPr>
            <w:r w:rsidRPr="0004674B">
              <w:rPr>
                <w:rFonts w:cs="Calibri"/>
                <w:color w:val="000000"/>
              </w:rPr>
              <w:t>Minimálne 55 Wh</w:t>
            </w:r>
          </w:p>
        </w:tc>
        <w:tc>
          <w:tcPr>
            <w:tcW w:w="3532" w:type="dxa"/>
            <w:tcBorders>
              <w:top w:val="nil"/>
              <w:left w:val="nil"/>
              <w:bottom w:val="single" w:sz="8" w:space="0" w:color="auto"/>
              <w:right w:val="single" w:sz="8" w:space="0" w:color="auto"/>
            </w:tcBorders>
          </w:tcPr>
          <w:p w14:paraId="13389687" w14:textId="77777777" w:rsidR="00D52734" w:rsidRPr="0004674B"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04674B" w:rsidRDefault="00D52734" w:rsidP="00D52734">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04674B"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04674B" w:rsidRDefault="00D52734" w:rsidP="00D52734">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04674B"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04674B" w:rsidRDefault="00D52734" w:rsidP="00D52734">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04674B"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04674B" w:rsidRDefault="00D52734" w:rsidP="00D52734">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04674B"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04674B" w:rsidRDefault="00D52734" w:rsidP="00D52734">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04674B"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04674B" w:rsidRDefault="00D52734" w:rsidP="00D52734">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04674B"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04674B" w:rsidRDefault="00D52734" w:rsidP="00D52734">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04674B"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04674B" w:rsidRDefault="00D52734" w:rsidP="00D52734">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04674B"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04674B" w:rsidRDefault="00D52734" w:rsidP="00D52734">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04674B" w:rsidRDefault="00D52734" w:rsidP="00D52734">
            <w:pPr>
              <w:rPr>
                <w:rFonts w:cs="Calibri"/>
                <w:color w:val="222222"/>
              </w:rPr>
            </w:pPr>
          </w:p>
        </w:tc>
      </w:tr>
      <w:tr w:rsidR="00D52734" w:rsidRPr="0004674B" w14:paraId="20C48B37" w14:textId="0A2E74D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17806C9B" w:rsidR="00D52734" w:rsidRPr="0004674B" w:rsidRDefault="00D52734" w:rsidP="00D52734">
            <w:pPr>
              <w:rPr>
                <w:rFonts w:cs="Calibri"/>
                <w:color w:val="000000"/>
              </w:rPr>
            </w:pPr>
            <w:r w:rsidRPr="0004674B">
              <w:rPr>
                <w:rFonts w:cs="Calibri"/>
                <w:color w:val="000000"/>
              </w:rPr>
              <w:t>maximálne 320,0 x 225,0 x 18 mm</w:t>
            </w:r>
            <w:r w:rsidRPr="003A5F56">
              <w:rPr>
                <w:rFonts w:cs="Calibri"/>
                <w:color w:val="000000"/>
                <w:highlight w:val="yellow"/>
              </w:rPr>
              <w:t xml:space="preserve"> </w:t>
            </w:r>
            <w:r w:rsidRPr="00156F7D">
              <w:rPr>
                <w:rFonts w:cs="Calibri"/>
                <w:color w:val="000000"/>
                <w:highlight w:val="green"/>
              </w:rPr>
              <w:t>odchýlka do max 5% v parametri H,V</w:t>
            </w:r>
          </w:p>
        </w:tc>
        <w:tc>
          <w:tcPr>
            <w:tcW w:w="3532" w:type="dxa"/>
            <w:tcBorders>
              <w:top w:val="nil"/>
              <w:left w:val="nil"/>
              <w:bottom w:val="single" w:sz="8" w:space="0" w:color="auto"/>
              <w:right w:val="single" w:sz="8" w:space="0" w:color="auto"/>
            </w:tcBorders>
          </w:tcPr>
          <w:p w14:paraId="33448231" w14:textId="77777777" w:rsidR="00D52734" w:rsidRPr="0004674B"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04674B" w:rsidRDefault="00D52734" w:rsidP="00D52734">
            <w:pPr>
              <w:rPr>
                <w:rFonts w:cs="Calibri"/>
                <w:color w:val="000000"/>
              </w:rPr>
            </w:pPr>
            <w:r w:rsidRPr="0004674B">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04674B"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lastRenderedPageBreak/>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04674B" w:rsidRDefault="00D52734" w:rsidP="00D52734">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04674B"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04674B" w:rsidRDefault="00D52734" w:rsidP="00D52734">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04674B"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156F7D" w:rsidRDefault="00D52734" w:rsidP="00D52734">
            <w:pPr>
              <w:rPr>
                <w:rFonts w:cs="Calibri"/>
                <w:color w:val="000000"/>
                <w:highlight w:val="green"/>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04674B">
              <w:rPr>
                <w:rFonts w:cs="Calibri"/>
                <w:color w:val="000000"/>
              </w:rPr>
              <w:t xml:space="preserve">plast alebo Hliník </w:t>
            </w:r>
            <w:proofErr w:type="spellStart"/>
            <w:r w:rsidRPr="0004674B">
              <w:rPr>
                <w:rFonts w:cs="Calibri"/>
                <w:color w:val="000000"/>
              </w:rPr>
              <w:t>Hliník</w:t>
            </w:r>
            <w:proofErr w:type="spellEnd"/>
            <w:r>
              <w:rPr>
                <w:rFonts w:cs="Calibri"/>
                <w:color w:val="000000"/>
              </w:rPr>
              <w:t xml:space="preserve"> </w:t>
            </w:r>
            <w:r w:rsidRPr="00996497">
              <w:rPr>
                <w:rFonts w:cs="Calibri"/>
                <w:color w:val="000000"/>
                <w:highlight w:val="yellow"/>
              </w:rPr>
              <w:t>(</w:t>
            </w:r>
            <w:r w:rsidRPr="00156F7D">
              <w:rPr>
                <w:rFonts w:cs="Calibri"/>
                <w:color w:val="000000"/>
                <w:highlight w:val="green"/>
              </w:rPr>
              <w:t xml:space="preserve">možnosť alternatívy v podobe </w:t>
            </w:r>
            <w:proofErr w:type="spellStart"/>
            <w:r w:rsidRPr="00156F7D">
              <w:rPr>
                <w:rFonts w:cs="Calibri"/>
                <w:color w:val="000000"/>
                <w:highlight w:val="green"/>
              </w:rPr>
              <w:t>bioplastu</w:t>
            </w:r>
            <w:proofErr w:type="spellEnd"/>
            <w:r w:rsidRPr="00156F7D">
              <w:rPr>
                <w:rFonts w:cs="Calibri"/>
                <w:color w:val="000000"/>
                <w:highlight w:val="green"/>
              </w:rPr>
              <w:t xml:space="preserve"> a materiálov s prihliadnutím na ich ekologickosť a </w:t>
            </w:r>
            <w:proofErr w:type="spellStart"/>
            <w:r w:rsidRPr="00156F7D">
              <w:rPr>
                <w:rFonts w:cs="Calibri"/>
                <w:color w:val="000000"/>
                <w:highlight w:val="green"/>
              </w:rPr>
              <w:t>recyklovateľnosť</w:t>
            </w:r>
            <w:proofErr w:type="spellEnd"/>
            <w:r w:rsidRPr="00156F7D">
              <w:rPr>
                <w:rFonts w:cs="Calibri"/>
                <w:color w:val="000000"/>
                <w:highlight w:val="green"/>
              </w:rPr>
              <w:t>)</w:t>
            </w:r>
          </w:p>
          <w:p w14:paraId="1F39B6E3" w14:textId="76085CEE" w:rsidR="00D52734" w:rsidRPr="0004674B" w:rsidRDefault="00D52734" w:rsidP="00D52734">
            <w:pPr>
              <w:rPr>
                <w:rFonts w:cs="Calibri"/>
                <w:color w:val="000000"/>
              </w:rPr>
            </w:pPr>
            <w:r w:rsidRPr="00156F7D">
              <w:rPr>
                <w:rFonts w:cs="Calibri"/>
                <w:color w:val="000000"/>
                <w:highlight w:val="green"/>
              </w:rPr>
              <w:t xml:space="preserve">Splnenie </w:t>
            </w:r>
            <w:proofErr w:type="spellStart"/>
            <w:r w:rsidRPr="00156F7D">
              <w:rPr>
                <w:rFonts w:cs="Calibri"/>
                <w:color w:val="000000"/>
                <w:highlight w:val="green"/>
              </w:rPr>
              <w:t>odolnostných</w:t>
            </w:r>
            <w:proofErr w:type="spellEnd"/>
            <w:r w:rsidRPr="00156F7D">
              <w:rPr>
                <w:rFonts w:cs="Calibri"/>
                <w:color w:val="000000"/>
                <w:highlight w:val="green"/>
              </w:rPr>
              <w:t xml:space="preserve"> noriem</w:t>
            </w:r>
          </w:p>
        </w:tc>
        <w:tc>
          <w:tcPr>
            <w:tcW w:w="3532" w:type="dxa"/>
            <w:tcBorders>
              <w:top w:val="nil"/>
              <w:left w:val="nil"/>
              <w:bottom w:val="single" w:sz="8" w:space="0" w:color="auto"/>
              <w:right w:val="single" w:sz="8" w:space="0" w:color="auto"/>
            </w:tcBorders>
          </w:tcPr>
          <w:p w14:paraId="45E00F43" w14:textId="77777777" w:rsidR="00D52734" w:rsidRPr="0004674B"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lastRenderedPageBreak/>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04674B" w:rsidRDefault="003D54AC" w:rsidP="00996497">
            <w:pPr>
              <w:rPr>
                <w:rFonts w:cs="Calibri"/>
                <w:color w:val="000000"/>
              </w:rPr>
            </w:pPr>
            <w:r w:rsidRPr="00156F7D">
              <w:rPr>
                <w:rFonts w:cs="Calibri"/>
                <w:color w:val="000000"/>
                <w:highlight w:val="green"/>
              </w:rPr>
              <w:t>Áno</w:t>
            </w:r>
            <w:r w:rsidR="00996497" w:rsidRPr="00156F7D">
              <w:rPr>
                <w:highlight w:val="green"/>
              </w:rPr>
              <w:t xml:space="preserve"> </w:t>
            </w:r>
            <w:r w:rsidR="00996497" w:rsidRPr="00156F7D">
              <w:rPr>
                <w:rFonts w:cs="Calibri"/>
                <w:color w:val="000000"/>
                <w:highlight w:val="green"/>
              </w:rPr>
              <w:t xml:space="preserve">,je možné riešiť aj externou čítačkou kariet (jedná sa o </w:t>
            </w:r>
            <w:proofErr w:type="spellStart"/>
            <w:r w:rsidR="00996497" w:rsidRPr="00156F7D">
              <w:rPr>
                <w:rFonts w:cs="Calibri"/>
                <w:color w:val="000000"/>
                <w:highlight w:val="green"/>
              </w:rPr>
              <w:t>čípové</w:t>
            </w:r>
            <w:proofErr w:type="spellEnd"/>
            <w:r w:rsidR="00996497" w:rsidRPr="00156F7D">
              <w:rPr>
                <w:rFonts w:cs="Calibri"/>
                <w:color w:val="000000"/>
                <w:highlight w:val="green"/>
              </w:rPr>
              <w:t xml:space="preserve">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04674B" w:rsidRDefault="007C30C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plast alebo Hliník</w:t>
            </w:r>
          </w:p>
          <w:p w14:paraId="62AD7329" w14:textId="0B7F7BE5" w:rsidR="003D54AC" w:rsidRPr="0004674B" w:rsidRDefault="00996497" w:rsidP="0035167A">
            <w:pPr>
              <w:rPr>
                <w:rFonts w:cs="Calibri"/>
                <w:color w:val="000000"/>
              </w:rPr>
            </w:pPr>
            <w:r w:rsidRPr="00156F7D">
              <w:rPr>
                <w:rFonts w:cs="Calibri"/>
                <w:color w:val="000000"/>
                <w:highlight w:val="green"/>
              </w:rPr>
              <w:t xml:space="preserve">(možnosť alternatívy v podobe </w:t>
            </w:r>
            <w:proofErr w:type="spellStart"/>
            <w:r w:rsidRPr="00156F7D">
              <w:rPr>
                <w:rFonts w:cs="Calibri"/>
                <w:color w:val="000000"/>
                <w:highlight w:val="green"/>
              </w:rPr>
              <w:t>bioplastu</w:t>
            </w:r>
            <w:proofErr w:type="spellEnd"/>
            <w:r w:rsidRPr="00156F7D">
              <w:rPr>
                <w:rFonts w:cs="Calibri"/>
                <w:color w:val="000000"/>
                <w:highlight w:val="green"/>
              </w:rPr>
              <w:t xml:space="preserve"> a materiálov s prihliadnutím na ich ekologickosť a </w:t>
            </w:r>
            <w:proofErr w:type="spellStart"/>
            <w:r w:rsidRPr="00156F7D">
              <w:rPr>
                <w:rFonts w:cs="Calibri"/>
                <w:color w:val="000000"/>
                <w:highlight w:val="green"/>
              </w:rPr>
              <w:t>recyklovateľnosť</w:t>
            </w:r>
            <w:proofErr w:type="spellEnd"/>
            <w:r w:rsidRPr="00156F7D">
              <w:rPr>
                <w:rFonts w:cs="Calibri"/>
                <w:color w:val="000000"/>
                <w:highlight w:val="green"/>
              </w:rPr>
              <w:t>)</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lastRenderedPageBreak/>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lastRenderedPageBreak/>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lastRenderedPageBreak/>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lastRenderedPageBreak/>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156F7D">
              <w:rPr>
                <w:szCs w:val="20"/>
                <w:highlight w:val="green"/>
                <w:lang w:eastAsia="sk-SK"/>
              </w:rPr>
              <w:t>DLP</w:t>
            </w:r>
            <w:r w:rsidR="0073586F" w:rsidRPr="00156F7D">
              <w:rPr>
                <w:szCs w:val="20"/>
                <w:highlight w:val="green"/>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2042" w14:textId="77777777" w:rsidR="00965EF7" w:rsidRDefault="00965EF7">
      <w:r>
        <w:separator/>
      </w:r>
    </w:p>
  </w:endnote>
  <w:endnote w:type="continuationSeparator" w:id="0">
    <w:p w14:paraId="25621B28" w14:textId="77777777" w:rsidR="00965EF7" w:rsidRDefault="0096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4373E7F2"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1941F7">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1941F7">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3D8F0B14" w:rsidR="003A5F56" w:rsidRDefault="003A5F56">
        <w:pPr>
          <w:pStyle w:val="Pta"/>
          <w:jc w:val="center"/>
        </w:pPr>
        <w:r>
          <w:fldChar w:fldCharType="begin"/>
        </w:r>
        <w:r>
          <w:instrText xml:space="preserve"> PAGE   \* MERGEFORMAT </w:instrText>
        </w:r>
        <w:r>
          <w:fldChar w:fldCharType="separate"/>
        </w:r>
        <w:r w:rsidR="001941F7">
          <w:rPr>
            <w:noProof/>
          </w:rPr>
          <w:t>5</w:t>
        </w:r>
        <w:r w:rsidR="001941F7">
          <w:rPr>
            <w:noProof/>
          </w:rPr>
          <w:t>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F5B0" w14:textId="77777777" w:rsidR="00965EF7" w:rsidRDefault="00965EF7">
      <w:r>
        <w:separator/>
      </w:r>
    </w:p>
  </w:footnote>
  <w:footnote w:type="continuationSeparator" w:id="0">
    <w:p w14:paraId="7A824A4E" w14:textId="77777777" w:rsidR="00965EF7" w:rsidRDefault="0096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860856">
    <w:abstractNumId w:val="119"/>
  </w:num>
  <w:num w:numId="2" w16cid:durableId="440338230">
    <w:abstractNumId w:val="1"/>
  </w:num>
  <w:num w:numId="3" w16cid:durableId="278418516">
    <w:abstractNumId w:val="130"/>
  </w:num>
  <w:num w:numId="4" w16cid:durableId="2039042571">
    <w:abstractNumId w:val="87"/>
  </w:num>
  <w:num w:numId="5" w16cid:durableId="950629711">
    <w:abstractNumId w:val="111"/>
  </w:num>
  <w:num w:numId="6" w16cid:durableId="1154760266">
    <w:abstractNumId w:val="80"/>
  </w:num>
  <w:num w:numId="7" w16cid:durableId="98335098">
    <w:abstractNumId w:val="90"/>
  </w:num>
  <w:num w:numId="8" w16cid:durableId="925307372">
    <w:abstractNumId w:val="58"/>
  </w:num>
  <w:num w:numId="9" w16cid:durableId="1560482287">
    <w:abstractNumId w:val="121"/>
  </w:num>
  <w:num w:numId="10" w16cid:durableId="1140268597">
    <w:abstractNumId w:val="29"/>
  </w:num>
  <w:num w:numId="11" w16cid:durableId="16142415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420370">
    <w:abstractNumId w:val="0"/>
  </w:num>
  <w:num w:numId="13" w16cid:durableId="45279236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6320">
    <w:abstractNumId w:val="129"/>
  </w:num>
  <w:num w:numId="15" w16cid:durableId="1056851075">
    <w:abstractNumId w:val="136"/>
  </w:num>
  <w:num w:numId="16" w16cid:durableId="131872767">
    <w:abstractNumId w:val="42"/>
  </w:num>
  <w:num w:numId="17" w16cid:durableId="1529021798">
    <w:abstractNumId w:val="108"/>
  </w:num>
  <w:num w:numId="18" w16cid:durableId="2075660586">
    <w:abstractNumId w:val="70"/>
  </w:num>
  <w:num w:numId="19" w16cid:durableId="862472367">
    <w:abstractNumId w:val="16"/>
  </w:num>
  <w:num w:numId="20" w16cid:durableId="29233747">
    <w:abstractNumId w:val="22"/>
  </w:num>
  <w:num w:numId="21" w16cid:durableId="1445343624">
    <w:abstractNumId w:val="64"/>
  </w:num>
  <w:num w:numId="22" w16cid:durableId="342173660">
    <w:abstractNumId w:val="23"/>
  </w:num>
  <w:num w:numId="23" w16cid:durableId="368379405">
    <w:abstractNumId w:val="45"/>
  </w:num>
  <w:num w:numId="24" w16cid:durableId="728111838">
    <w:abstractNumId w:val="47"/>
  </w:num>
  <w:num w:numId="25" w16cid:durableId="832261164">
    <w:abstractNumId w:val="32"/>
  </w:num>
  <w:num w:numId="26" w16cid:durableId="2111971985">
    <w:abstractNumId w:val="89"/>
  </w:num>
  <w:num w:numId="27" w16cid:durableId="82073794">
    <w:abstractNumId w:val="26"/>
  </w:num>
  <w:num w:numId="28" w16cid:durableId="847643253">
    <w:abstractNumId w:val="41"/>
  </w:num>
  <w:num w:numId="29" w16cid:durableId="1301886321">
    <w:abstractNumId w:val="39"/>
  </w:num>
  <w:num w:numId="30" w16cid:durableId="925722993">
    <w:abstractNumId w:val="10"/>
  </w:num>
  <w:num w:numId="31" w16cid:durableId="893856494">
    <w:abstractNumId w:val="13"/>
  </w:num>
  <w:num w:numId="32" w16cid:durableId="1536580935">
    <w:abstractNumId w:val="126"/>
  </w:num>
  <w:num w:numId="33" w16cid:durableId="1714572045">
    <w:abstractNumId w:val="140"/>
  </w:num>
  <w:num w:numId="34" w16cid:durableId="1121917433">
    <w:abstractNumId w:val="94"/>
  </w:num>
  <w:num w:numId="35" w16cid:durableId="873692668">
    <w:abstractNumId w:val="113"/>
  </w:num>
  <w:num w:numId="36" w16cid:durableId="912355895">
    <w:abstractNumId w:val="50"/>
  </w:num>
  <w:num w:numId="37" w16cid:durableId="1005011910">
    <w:abstractNumId w:val="109"/>
  </w:num>
  <w:num w:numId="38" w16cid:durableId="1390307220">
    <w:abstractNumId w:val="97"/>
  </w:num>
  <w:num w:numId="39" w16cid:durableId="2001544424">
    <w:abstractNumId w:val="137"/>
  </w:num>
  <w:num w:numId="40" w16cid:durableId="619800886">
    <w:abstractNumId w:val="107"/>
  </w:num>
  <w:num w:numId="41" w16cid:durableId="805202811">
    <w:abstractNumId w:val="52"/>
  </w:num>
  <w:num w:numId="42" w16cid:durableId="1336835944">
    <w:abstractNumId w:val="28"/>
  </w:num>
  <w:num w:numId="43" w16cid:durableId="306328496">
    <w:abstractNumId w:val="19"/>
  </w:num>
  <w:num w:numId="44" w16cid:durableId="1007904463">
    <w:abstractNumId w:val="86"/>
  </w:num>
  <w:num w:numId="45" w16cid:durableId="1699819801">
    <w:abstractNumId w:val="74"/>
  </w:num>
  <w:num w:numId="46" w16cid:durableId="182939478">
    <w:abstractNumId w:val="135"/>
  </w:num>
  <w:num w:numId="47" w16cid:durableId="22488656">
    <w:abstractNumId w:val="65"/>
  </w:num>
  <w:num w:numId="48" w16cid:durableId="734090937">
    <w:abstractNumId w:val="38"/>
  </w:num>
  <w:num w:numId="49" w16cid:durableId="1762949656">
    <w:abstractNumId w:val="116"/>
  </w:num>
  <w:num w:numId="50" w16cid:durableId="2054306007">
    <w:abstractNumId w:val="35"/>
  </w:num>
  <w:num w:numId="51" w16cid:durableId="55780286">
    <w:abstractNumId w:val="127"/>
  </w:num>
  <w:num w:numId="52" w16cid:durableId="1886333480">
    <w:abstractNumId w:val="8"/>
  </w:num>
  <w:num w:numId="53" w16cid:durableId="1905294832">
    <w:abstractNumId w:val="84"/>
  </w:num>
  <w:num w:numId="54" w16cid:durableId="581530332">
    <w:abstractNumId w:val="82"/>
  </w:num>
  <w:num w:numId="55" w16cid:durableId="1431124063">
    <w:abstractNumId w:val="53"/>
  </w:num>
  <w:num w:numId="56" w16cid:durableId="1233009466">
    <w:abstractNumId w:val="72"/>
  </w:num>
  <w:num w:numId="57" w16cid:durableId="1789623850">
    <w:abstractNumId w:val="54"/>
  </w:num>
  <w:num w:numId="58" w16cid:durableId="599529390">
    <w:abstractNumId w:val="77"/>
  </w:num>
  <w:num w:numId="59" w16cid:durableId="710232060">
    <w:abstractNumId w:val="120"/>
  </w:num>
  <w:num w:numId="60" w16cid:durableId="1805342052">
    <w:abstractNumId w:val="142"/>
  </w:num>
  <w:num w:numId="61" w16cid:durableId="751585605">
    <w:abstractNumId w:val="57"/>
  </w:num>
  <w:num w:numId="62" w16cid:durableId="1445804745">
    <w:abstractNumId w:val="96"/>
  </w:num>
  <w:num w:numId="63" w16cid:durableId="327827819">
    <w:abstractNumId w:val="46"/>
  </w:num>
  <w:num w:numId="64" w16cid:durableId="606811607">
    <w:abstractNumId w:val="4"/>
  </w:num>
  <w:num w:numId="65" w16cid:durableId="1762753350">
    <w:abstractNumId w:val="125"/>
  </w:num>
  <w:num w:numId="66" w16cid:durableId="2074546260">
    <w:abstractNumId w:val="114"/>
  </w:num>
  <w:num w:numId="67" w16cid:durableId="192427169">
    <w:abstractNumId w:val="60"/>
  </w:num>
  <w:num w:numId="68" w16cid:durableId="2122450255">
    <w:abstractNumId w:val="3"/>
  </w:num>
  <w:num w:numId="69" w16cid:durableId="1792623537">
    <w:abstractNumId w:val="18"/>
  </w:num>
  <w:num w:numId="70" w16cid:durableId="130683404">
    <w:abstractNumId w:val="2"/>
  </w:num>
  <w:num w:numId="71" w16cid:durableId="1137331240">
    <w:abstractNumId w:val="44"/>
  </w:num>
  <w:num w:numId="72" w16cid:durableId="840392881">
    <w:abstractNumId w:val="122"/>
  </w:num>
  <w:num w:numId="73" w16cid:durableId="66460572">
    <w:abstractNumId w:val="21"/>
  </w:num>
  <w:num w:numId="74" w16cid:durableId="2022076213">
    <w:abstractNumId w:val="106"/>
  </w:num>
  <w:num w:numId="75" w16cid:durableId="328869145">
    <w:abstractNumId w:val="104"/>
  </w:num>
  <w:num w:numId="76" w16cid:durableId="420100085">
    <w:abstractNumId w:val="27"/>
  </w:num>
  <w:num w:numId="77" w16cid:durableId="1632830551">
    <w:abstractNumId w:val="145"/>
  </w:num>
  <w:num w:numId="78" w16cid:durableId="1955943022">
    <w:abstractNumId w:val="59"/>
  </w:num>
  <w:num w:numId="79" w16cid:durableId="263617648">
    <w:abstractNumId w:val="92"/>
  </w:num>
  <w:num w:numId="80" w16cid:durableId="1818447267">
    <w:abstractNumId w:val="9"/>
  </w:num>
  <w:num w:numId="81" w16cid:durableId="1577085859">
    <w:abstractNumId w:val="85"/>
  </w:num>
  <w:num w:numId="82" w16cid:durableId="50467291">
    <w:abstractNumId w:val="100"/>
  </w:num>
  <w:num w:numId="83" w16cid:durableId="1693141132">
    <w:abstractNumId w:val="144"/>
  </w:num>
  <w:num w:numId="84" w16cid:durableId="1071388420">
    <w:abstractNumId w:val="56"/>
  </w:num>
  <w:num w:numId="85" w16cid:durableId="1756825126">
    <w:abstractNumId w:val="49"/>
  </w:num>
  <w:num w:numId="86" w16cid:durableId="1231042468">
    <w:abstractNumId w:val="83"/>
  </w:num>
  <w:num w:numId="87" w16cid:durableId="509947633">
    <w:abstractNumId w:val="34"/>
  </w:num>
  <w:num w:numId="88" w16cid:durableId="1816332368">
    <w:abstractNumId w:val="79"/>
  </w:num>
  <w:num w:numId="89" w16cid:durableId="1838574957">
    <w:abstractNumId w:val="11"/>
  </w:num>
  <w:num w:numId="90" w16cid:durableId="535393372">
    <w:abstractNumId w:val="99"/>
  </w:num>
  <w:num w:numId="91" w16cid:durableId="1844583955">
    <w:abstractNumId w:val="66"/>
  </w:num>
  <w:num w:numId="92" w16cid:durableId="1270158261">
    <w:abstractNumId w:val="73"/>
  </w:num>
  <w:num w:numId="93" w16cid:durableId="261424614">
    <w:abstractNumId w:val="7"/>
  </w:num>
  <w:num w:numId="94" w16cid:durableId="1497648212">
    <w:abstractNumId w:val="118"/>
  </w:num>
  <w:num w:numId="95" w16cid:durableId="187069294">
    <w:abstractNumId w:val="101"/>
  </w:num>
  <w:num w:numId="96" w16cid:durableId="133764140">
    <w:abstractNumId w:val="105"/>
  </w:num>
  <w:num w:numId="97" w16cid:durableId="2092264926">
    <w:abstractNumId w:val="12"/>
  </w:num>
  <w:num w:numId="98" w16cid:durableId="428888569">
    <w:abstractNumId w:val="17"/>
  </w:num>
  <w:num w:numId="99" w16cid:durableId="372119014">
    <w:abstractNumId w:val="61"/>
  </w:num>
  <w:num w:numId="100" w16cid:durableId="1750811789">
    <w:abstractNumId w:val="6"/>
  </w:num>
  <w:num w:numId="101" w16cid:durableId="283928407">
    <w:abstractNumId w:val="81"/>
  </w:num>
  <w:num w:numId="102" w16cid:durableId="289438860">
    <w:abstractNumId w:val="63"/>
  </w:num>
  <w:num w:numId="103" w16cid:durableId="232814747">
    <w:abstractNumId w:val="143"/>
  </w:num>
  <w:num w:numId="104" w16cid:durableId="492837495">
    <w:abstractNumId w:val="67"/>
  </w:num>
  <w:num w:numId="105" w16cid:durableId="1548375609">
    <w:abstractNumId w:val="112"/>
  </w:num>
  <w:num w:numId="106" w16cid:durableId="2084134823">
    <w:abstractNumId w:val="15"/>
  </w:num>
  <w:num w:numId="107" w16cid:durableId="454176299">
    <w:abstractNumId w:val="37"/>
  </w:num>
  <w:num w:numId="108" w16cid:durableId="440227335">
    <w:abstractNumId w:val="5"/>
  </w:num>
  <w:num w:numId="109" w16cid:durableId="852497062">
    <w:abstractNumId w:val="117"/>
  </w:num>
  <w:num w:numId="110" w16cid:durableId="746852446">
    <w:abstractNumId w:val="30"/>
  </w:num>
  <w:num w:numId="111" w16cid:durableId="1229078349">
    <w:abstractNumId w:val="128"/>
  </w:num>
  <w:num w:numId="112" w16cid:durableId="601230388">
    <w:abstractNumId w:val="115"/>
  </w:num>
  <w:num w:numId="113" w16cid:durableId="1909606027">
    <w:abstractNumId w:val="141"/>
  </w:num>
  <w:num w:numId="114" w16cid:durableId="480342449">
    <w:abstractNumId w:val="131"/>
  </w:num>
  <w:num w:numId="115" w16cid:durableId="823858791">
    <w:abstractNumId w:val="132"/>
  </w:num>
  <w:num w:numId="116" w16cid:durableId="477962775">
    <w:abstractNumId w:val="98"/>
  </w:num>
  <w:num w:numId="117" w16cid:durableId="49426316">
    <w:abstractNumId w:val="139"/>
  </w:num>
  <w:num w:numId="118" w16cid:durableId="362218226">
    <w:abstractNumId w:val="20"/>
  </w:num>
  <w:num w:numId="119" w16cid:durableId="1246914984">
    <w:abstractNumId w:val="14"/>
  </w:num>
  <w:num w:numId="120" w16cid:durableId="2037776869">
    <w:abstractNumId w:val="138"/>
  </w:num>
  <w:num w:numId="121" w16cid:durableId="1185512580">
    <w:abstractNumId w:val="43"/>
  </w:num>
  <w:num w:numId="122" w16cid:durableId="516583443">
    <w:abstractNumId w:val="146"/>
  </w:num>
  <w:num w:numId="123" w16cid:durableId="171377672">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40837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06166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528197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19454556">
    <w:abstractNumId w:val="93"/>
  </w:num>
  <w:num w:numId="128" w16cid:durableId="532614383">
    <w:abstractNumId w:val="31"/>
  </w:num>
  <w:num w:numId="129" w16cid:durableId="636035574">
    <w:abstractNumId w:val="24"/>
  </w:num>
  <w:num w:numId="130" w16cid:durableId="2061782221">
    <w:abstractNumId w:val="33"/>
  </w:num>
  <w:num w:numId="131" w16cid:durableId="352652701">
    <w:abstractNumId w:val="36"/>
  </w:num>
  <w:num w:numId="132" w16cid:durableId="1696038677">
    <w:abstractNumId w:val="55"/>
  </w:num>
  <w:num w:numId="133" w16cid:durableId="403260122">
    <w:abstractNumId w:val="134"/>
  </w:num>
  <w:num w:numId="134" w16cid:durableId="17728234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6756601">
    <w:abstractNumId w:val="103"/>
  </w:num>
  <w:num w:numId="136" w16cid:durableId="549803495">
    <w:abstractNumId w:val="25"/>
  </w:num>
  <w:num w:numId="137" w16cid:durableId="29109042">
    <w:abstractNumId w:val="48"/>
  </w:num>
  <w:num w:numId="138" w16cid:durableId="509106933">
    <w:abstractNumId w:val="88"/>
  </w:num>
  <w:num w:numId="139" w16cid:durableId="1486312809">
    <w:abstractNumId w:val="76"/>
  </w:num>
  <w:num w:numId="140" w16cid:durableId="1495997746">
    <w:abstractNumId w:val="95"/>
  </w:num>
  <w:num w:numId="141" w16cid:durableId="13969806">
    <w:abstractNumId w:val="71"/>
  </w:num>
  <w:num w:numId="142" w16cid:durableId="230623390">
    <w:abstractNumId w:val="69"/>
  </w:num>
  <w:num w:numId="143" w16cid:durableId="1275090249">
    <w:abstractNumId w:val="75"/>
  </w:num>
  <w:num w:numId="144" w16cid:durableId="636373443">
    <w:abstractNumId w:val="51"/>
  </w:num>
  <w:num w:numId="145" w16cid:durableId="1091705227">
    <w:abstractNumId w:val="123"/>
  </w:num>
  <w:num w:numId="146" w16cid:durableId="1126241205">
    <w:abstractNumId w:val="78"/>
  </w:num>
  <w:num w:numId="147" w16cid:durableId="160059731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96737-386F-4469-94D3-5CFF40CFBCE2}">
  <ds:schemaRefs>
    <ds:schemaRef ds:uri="http://schemas.openxmlformats.org/officeDocument/2006/bibliography"/>
  </ds:schemaRefs>
</ds:datastoreItem>
</file>

<file path=customXml/itemProps4.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11604</Words>
  <Characters>75691</Characters>
  <Application>Microsoft Office Word</Application>
  <DocSecurity>4</DocSecurity>
  <Lines>630</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87121</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2</cp:revision>
  <cp:lastPrinted>2022-03-21T10:54:00Z</cp:lastPrinted>
  <dcterms:created xsi:type="dcterms:W3CDTF">2022-05-09T13:30:00Z</dcterms:created>
  <dcterms:modified xsi:type="dcterms:W3CDTF">2022-05-09T13:30:00Z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