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AD" w:rsidRPr="00FF3F7D" w:rsidRDefault="00EB3BAD" w:rsidP="00EB3BAD">
      <w:pPr>
        <w:shd w:val="clear" w:color="auto" w:fill="D9D9D9"/>
        <w:spacing w:after="120" w:line="240" w:lineRule="auto"/>
        <w:ind w:right="284"/>
        <w:rPr>
          <w:rFonts w:ascii="Arial Black" w:eastAsia="Times New Roman" w:hAnsi="Arial Black" w:cs="Arial Black"/>
          <w:caps/>
          <w:sz w:val="20"/>
          <w:szCs w:val="20"/>
          <w:lang w:val="fr-FR" w:eastAsia="fr-FR"/>
        </w:rPr>
      </w:pPr>
      <w:r w:rsidRPr="00FF3F7D">
        <w:rPr>
          <w:rFonts w:ascii="Arial Black" w:eastAsia="Times New Roman" w:hAnsi="Arial Black" w:cs="Arial Black"/>
          <w:caps/>
          <w:sz w:val="20"/>
          <w:szCs w:val="20"/>
          <w:lang w:val="fr-FR" w:eastAsia="fr-FR"/>
        </w:rPr>
        <w:t xml:space="preserve">príloha č. 4  </w:t>
      </w:r>
    </w:p>
    <w:p w:rsidR="00EB3BAD" w:rsidRPr="00FF3F7D" w:rsidRDefault="00EB3BAD" w:rsidP="00EB3BAD">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FF3F7D">
        <w:rPr>
          <w:rFonts w:cstheme="minorHAnsi"/>
          <w:b/>
          <w:i/>
          <w:sz w:val="24"/>
          <w:szCs w:val="24"/>
        </w:rPr>
        <w:t>(Návrh)</w:t>
      </w:r>
    </w:p>
    <w:p w:rsidR="00EB3BAD" w:rsidRPr="00FF3F7D" w:rsidRDefault="00EB3BAD" w:rsidP="00EB3BAD">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rsidR="00EB3BAD" w:rsidRPr="00FF3F7D" w:rsidRDefault="00EB3BAD" w:rsidP="00EB3BAD">
      <w:pPr>
        <w:tabs>
          <w:tab w:val="left" w:pos="1134"/>
          <w:tab w:val="num" w:pos="1985"/>
        </w:tabs>
        <w:spacing w:after="0" w:line="240" w:lineRule="auto"/>
        <w:jc w:val="center"/>
        <w:rPr>
          <w:rFonts w:eastAsia="Times New Roman" w:cstheme="minorHAnsi"/>
          <w:b/>
          <w:bCs/>
          <w:caps/>
          <w:sz w:val="28"/>
          <w:szCs w:val="28"/>
          <w:lang w:val="fr-FR" w:eastAsia="fr-FR"/>
        </w:rPr>
      </w:pPr>
      <w:r w:rsidRPr="00FF3F7D">
        <w:rPr>
          <w:rFonts w:eastAsia="Times New Roman" w:cstheme="minorHAnsi"/>
          <w:b/>
          <w:bCs/>
          <w:caps/>
          <w:sz w:val="28"/>
          <w:szCs w:val="28"/>
          <w:lang w:val="fr-FR" w:eastAsia="fr-FR"/>
        </w:rPr>
        <w:t>ZMLUVa O DIELO</w:t>
      </w:r>
    </w:p>
    <w:p w:rsidR="00EB3BAD" w:rsidRPr="00FF3F7D" w:rsidRDefault="00EB3BAD" w:rsidP="00EB3BAD">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uzatvorená podľa § 536 a </w:t>
      </w:r>
      <w:proofErr w:type="spellStart"/>
      <w:r w:rsidRPr="00FF3F7D">
        <w:rPr>
          <w:rFonts w:eastAsia="Times New Roman" w:cstheme="minorHAnsi"/>
          <w:b/>
          <w:color w:val="000000"/>
          <w:sz w:val="20"/>
          <w:szCs w:val="20"/>
          <w:lang w:eastAsia="ar-SA"/>
        </w:rPr>
        <w:t>násl</w:t>
      </w:r>
      <w:proofErr w:type="spellEnd"/>
      <w:r w:rsidRPr="00FF3F7D">
        <w:rPr>
          <w:rFonts w:eastAsia="Times New Roman" w:cstheme="minorHAnsi"/>
          <w:b/>
          <w:color w:val="000000"/>
          <w:sz w:val="20"/>
          <w:szCs w:val="20"/>
          <w:lang w:eastAsia="ar-SA"/>
        </w:rPr>
        <w:t>. Zákona č. 513/1991 Zb. Obchodného zákonníka v znení neskorších predpisov uzatvorená v nižšie uvedený deň, medzi uvedenými stranami</w:t>
      </w:r>
    </w:p>
    <w:p w:rsidR="00EB3BAD" w:rsidRPr="00FF3F7D" w:rsidRDefault="00EB3BAD" w:rsidP="00EB3BAD">
      <w:pPr>
        <w:suppressAutoHyphens/>
        <w:spacing w:after="0" w:line="276" w:lineRule="auto"/>
        <w:rPr>
          <w:rFonts w:eastAsia="Times New Roman" w:cstheme="minorHAnsi"/>
          <w:color w:val="000000"/>
          <w:sz w:val="20"/>
          <w:szCs w:val="20"/>
          <w:lang w:eastAsia="ar-SA"/>
        </w:rPr>
      </w:pPr>
    </w:p>
    <w:p w:rsidR="00EB3BAD" w:rsidRPr="00FF3F7D" w:rsidRDefault="00EB3BAD" w:rsidP="00EB3BAD">
      <w:pPr>
        <w:suppressAutoHyphens/>
        <w:spacing w:after="0" w:line="276" w:lineRule="auto"/>
        <w:rPr>
          <w:rFonts w:eastAsia="Times New Roman" w:cstheme="minorHAnsi"/>
          <w:color w:val="000000"/>
          <w:sz w:val="20"/>
          <w:szCs w:val="20"/>
          <w:lang w:eastAsia="ar-SA"/>
        </w:rPr>
      </w:pPr>
    </w:p>
    <w:p w:rsidR="00EB3BAD" w:rsidRPr="00FF3F7D" w:rsidRDefault="00EB3BAD" w:rsidP="00EB3BAD">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ZMLUVNÉ STRANY</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sz w:val="20"/>
          <w:szCs w:val="20"/>
          <w:u w:val="single"/>
          <w:lang w:eastAsia="cs-CZ"/>
        </w:rPr>
      </w:pPr>
    </w:p>
    <w:p w:rsidR="00EB3BAD" w:rsidRPr="006109A3" w:rsidRDefault="00EB3BAD" w:rsidP="00692107">
      <w:pPr>
        <w:widowControl w:val="0"/>
        <w:numPr>
          <w:ilvl w:val="1"/>
          <w:numId w:val="2"/>
        </w:numPr>
        <w:tabs>
          <w:tab w:val="left" w:pos="3261"/>
        </w:tabs>
        <w:suppressAutoHyphens/>
        <w:spacing w:after="0" w:line="240" w:lineRule="auto"/>
        <w:ind w:left="567" w:hanging="567"/>
        <w:jc w:val="both"/>
        <w:rPr>
          <w:rFonts w:eastAsia="Times New Roman" w:cstheme="minorHAnsi"/>
          <w:sz w:val="20"/>
          <w:szCs w:val="20"/>
          <w:lang w:eastAsia="zh-CN"/>
        </w:rPr>
      </w:pPr>
      <w:r w:rsidRPr="006109A3">
        <w:rPr>
          <w:rFonts w:eastAsia="Times New Roman" w:cstheme="minorHAnsi"/>
          <w:sz w:val="20"/>
          <w:szCs w:val="20"/>
          <w:lang w:eastAsia="zh-CN"/>
        </w:rPr>
        <w:t>Objed</w:t>
      </w:r>
      <w:r w:rsidR="00800FCD" w:rsidRPr="006109A3">
        <w:rPr>
          <w:rFonts w:eastAsia="Times New Roman" w:cstheme="minorHAnsi"/>
          <w:sz w:val="20"/>
          <w:szCs w:val="20"/>
          <w:lang w:eastAsia="zh-CN"/>
        </w:rPr>
        <w:t>návateľ                       Obec Hencovce</w:t>
      </w:r>
    </w:p>
    <w:tbl>
      <w:tblPr>
        <w:tblW w:w="10442" w:type="dxa"/>
        <w:tblCellMar>
          <w:left w:w="70" w:type="dxa"/>
          <w:right w:w="70" w:type="dxa"/>
        </w:tblCellMar>
        <w:tblLook w:val="04A0" w:firstRow="1" w:lastRow="0" w:firstColumn="1" w:lastColumn="0" w:noHBand="0" w:noVBand="1"/>
      </w:tblPr>
      <w:tblGrid>
        <w:gridCol w:w="2648"/>
        <w:gridCol w:w="4582"/>
        <w:gridCol w:w="3212"/>
      </w:tblGrid>
      <w:tr w:rsidR="00F526E3" w:rsidRPr="00FF3F7D" w:rsidTr="006109A3">
        <w:trPr>
          <w:trHeight w:val="336"/>
        </w:trPr>
        <w:tc>
          <w:tcPr>
            <w:tcW w:w="2648" w:type="dxa"/>
            <w:tcBorders>
              <w:top w:val="nil"/>
              <w:left w:val="nil"/>
              <w:bottom w:val="nil"/>
              <w:right w:val="nil"/>
            </w:tcBorders>
            <w:shd w:val="clear" w:color="000000" w:fill="FFFFFF"/>
            <w:vAlign w:val="center"/>
            <w:hideMark/>
          </w:tcPr>
          <w:p w:rsidR="00F526E3" w:rsidRPr="006109A3" w:rsidRDefault="00F526E3" w:rsidP="00692107">
            <w:pPr>
              <w:tabs>
                <w:tab w:val="left" w:pos="3261"/>
              </w:tabs>
              <w:spacing w:after="0" w:line="240" w:lineRule="auto"/>
              <w:rPr>
                <w:rFonts w:eastAsia="Times New Roman" w:cstheme="minorHAnsi"/>
                <w:color w:val="000000"/>
                <w:sz w:val="20"/>
                <w:szCs w:val="20"/>
                <w:lang w:eastAsia="sk-SK"/>
              </w:rPr>
            </w:pPr>
            <w:r w:rsidRPr="006109A3">
              <w:rPr>
                <w:rFonts w:eastAsia="Times New Roman" w:cstheme="minorHAnsi"/>
                <w:color w:val="000000"/>
                <w:sz w:val="20"/>
                <w:szCs w:val="20"/>
                <w:lang w:eastAsia="sk-SK"/>
              </w:rPr>
              <w:t>Sídlo:</w:t>
            </w:r>
          </w:p>
        </w:tc>
        <w:tc>
          <w:tcPr>
            <w:tcW w:w="4582" w:type="dxa"/>
            <w:tcBorders>
              <w:top w:val="nil"/>
              <w:left w:val="nil"/>
              <w:bottom w:val="nil"/>
              <w:right w:val="nil"/>
            </w:tcBorders>
            <w:shd w:val="clear" w:color="auto" w:fill="auto"/>
          </w:tcPr>
          <w:p w:rsidR="00F526E3" w:rsidRPr="00FF3F7D" w:rsidRDefault="00800FCD" w:rsidP="00692107">
            <w:pPr>
              <w:tabs>
                <w:tab w:val="left" w:pos="3261"/>
              </w:tabs>
              <w:spacing w:after="0" w:line="240" w:lineRule="auto"/>
              <w:rPr>
                <w:rFonts w:eastAsia="Times New Roman" w:cstheme="minorHAnsi"/>
                <w:color w:val="000000"/>
                <w:sz w:val="20"/>
                <w:szCs w:val="20"/>
                <w:lang w:eastAsia="sk-SK"/>
              </w:rPr>
            </w:pPr>
            <w:r w:rsidRPr="006109A3">
              <w:rPr>
                <w:rFonts w:eastAsia="Times New Roman" w:cstheme="minorHAnsi"/>
                <w:color w:val="000000"/>
                <w:sz w:val="20"/>
                <w:szCs w:val="20"/>
                <w:lang w:eastAsia="sk-SK"/>
              </w:rPr>
              <w:t>Sládkovičova 1995/32, 093 02 Hencovce</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Zastúpený:</w:t>
            </w:r>
          </w:p>
        </w:tc>
        <w:tc>
          <w:tcPr>
            <w:tcW w:w="4582" w:type="dxa"/>
            <w:tcBorders>
              <w:top w:val="nil"/>
              <w:left w:val="nil"/>
              <w:bottom w:val="nil"/>
              <w:right w:val="nil"/>
            </w:tcBorders>
            <w:shd w:val="clear" w:color="000000" w:fill="FFFFFF"/>
          </w:tcPr>
          <w:p w:rsidR="00F526E3" w:rsidRPr="00FF3F7D" w:rsidRDefault="00800FCD" w:rsidP="00692107">
            <w:pPr>
              <w:tabs>
                <w:tab w:val="left" w:pos="3261"/>
              </w:tabs>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JUDr. Matúš Tomáš</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IČO:</w:t>
            </w:r>
          </w:p>
        </w:tc>
        <w:tc>
          <w:tcPr>
            <w:tcW w:w="4582" w:type="dxa"/>
            <w:tcBorders>
              <w:top w:val="nil"/>
              <w:left w:val="nil"/>
              <w:bottom w:val="nil"/>
              <w:right w:val="nil"/>
            </w:tcBorders>
            <w:shd w:val="clear" w:color="000000" w:fill="FFFFFF"/>
          </w:tcPr>
          <w:p w:rsidR="00F526E3" w:rsidRPr="00FF3F7D" w:rsidRDefault="00800FCD" w:rsidP="00692107">
            <w:pPr>
              <w:tabs>
                <w:tab w:val="left" w:pos="3261"/>
              </w:tabs>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35532319</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DIČ:</w:t>
            </w:r>
          </w:p>
        </w:tc>
        <w:tc>
          <w:tcPr>
            <w:tcW w:w="4582" w:type="dxa"/>
            <w:tcBorders>
              <w:top w:val="nil"/>
              <w:left w:val="nil"/>
              <w:bottom w:val="nil"/>
              <w:right w:val="nil"/>
            </w:tcBorders>
            <w:shd w:val="clear" w:color="000000" w:fill="FFFFFF"/>
          </w:tcPr>
          <w:p w:rsidR="00F526E3" w:rsidRPr="00FF3F7D" w:rsidRDefault="00800FCD" w:rsidP="00C6684C">
            <w:pPr>
              <w:tabs>
                <w:tab w:val="left" w:pos="3261"/>
              </w:tabs>
              <w:spacing w:after="0" w:line="240" w:lineRule="auto"/>
              <w:rPr>
                <w:rFonts w:eastAsia="Times New Roman" w:cstheme="minorHAnsi"/>
                <w:color w:val="000000"/>
                <w:sz w:val="20"/>
                <w:szCs w:val="20"/>
                <w:lang w:eastAsia="sk-SK"/>
              </w:rPr>
            </w:pPr>
            <w:r w:rsidRPr="00800FCD">
              <w:rPr>
                <w:rFonts w:eastAsia="Times New Roman" w:cstheme="minorHAnsi"/>
                <w:sz w:val="20"/>
                <w:szCs w:val="20"/>
                <w:shd w:val="clear" w:color="auto" w:fill="FFFFFF"/>
                <w:lang w:eastAsia="cs-CZ"/>
              </w:rPr>
              <w:t>2020972118</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Bankové spojenie:</w:t>
            </w:r>
          </w:p>
        </w:tc>
        <w:tc>
          <w:tcPr>
            <w:tcW w:w="4582" w:type="dxa"/>
            <w:tcBorders>
              <w:top w:val="nil"/>
              <w:left w:val="nil"/>
              <w:bottom w:val="nil"/>
              <w:right w:val="nil"/>
            </w:tcBorders>
            <w:shd w:val="clear" w:color="000000" w:fill="FFFFFF"/>
          </w:tcPr>
          <w:p w:rsidR="00F526E3" w:rsidRPr="00FF3F7D" w:rsidRDefault="00800FCD" w:rsidP="00692107">
            <w:pPr>
              <w:tabs>
                <w:tab w:val="left" w:pos="3261"/>
              </w:tabs>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 xml:space="preserve">VÚB </w:t>
            </w:r>
            <w:proofErr w:type="spellStart"/>
            <w:r>
              <w:rPr>
                <w:rFonts w:eastAsia="Times New Roman" w:cstheme="minorHAnsi"/>
                <w:color w:val="000000"/>
                <w:sz w:val="20"/>
                <w:szCs w:val="20"/>
                <w:lang w:eastAsia="sk-SK"/>
              </w:rPr>
              <w:t>a.s</w:t>
            </w:r>
            <w:proofErr w:type="spellEnd"/>
            <w:r>
              <w:rPr>
                <w:rFonts w:eastAsia="Times New Roman" w:cstheme="minorHAnsi"/>
                <w:color w:val="000000"/>
                <w:sz w:val="20"/>
                <w:szCs w:val="20"/>
                <w:lang w:eastAsia="sk-SK"/>
              </w:rPr>
              <w:t>.</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IBAN:</w:t>
            </w:r>
          </w:p>
        </w:tc>
        <w:tc>
          <w:tcPr>
            <w:tcW w:w="4582" w:type="dxa"/>
            <w:tcBorders>
              <w:top w:val="nil"/>
              <w:left w:val="nil"/>
              <w:bottom w:val="nil"/>
              <w:right w:val="nil"/>
            </w:tcBorders>
            <w:shd w:val="clear" w:color="000000" w:fill="FFFFFF"/>
          </w:tcPr>
          <w:p w:rsidR="00F526E3" w:rsidRPr="00FF3F7D" w:rsidRDefault="00800FCD" w:rsidP="00692107">
            <w:pPr>
              <w:tabs>
                <w:tab w:val="left" w:pos="3261"/>
              </w:tabs>
              <w:spacing w:after="0" w:line="240" w:lineRule="auto"/>
              <w:rPr>
                <w:rFonts w:eastAsia="Times New Roman" w:cstheme="minorHAnsi"/>
                <w:color w:val="000000"/>
                <w:sz w:val="20"/>
                <w:szCs w:val="20"/>
                <w:lang w:eastAsia="sk-SK"/>
              </w:rPr>
            </w:pPr>
            <w:r w:rsidRPr="00800FCD">
              <w:rPr>
                <w:rFonts w:eastAsia="Times New Roman" w:cstheme="minorHAnsi"/>
                <w:color w:val="000000"/>
                <w:sz w:val="20"/>
                <w:szCs w:val="20"/>
                <w:lang w:eastAsia="sk-SK"/>
              </w:rPr>
              <w:t>SK61 0200 0000 0009 2712 8632</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Telefón, e-mail:</w:t>
            </w:r>
          </w:p>
        </w:tc>
        <w:tc>
          <w:tcPr>
            <w:tcW w:w="4582" w:type="dxa"/>
            <w:tcBorders>
              <w:top w:val="nil"/>
              <w:left w:val="nil"/>
              <w:bottom w:val="nil"/>
              <w:right w:val="nil"/>
            </w:tcBorders>
            <w:shd w:val="clear" w:color="000000" w:fill="FFFFFF"/>
          </w:tcPr>
          <w:p w:rsidR="00F526E3" w:rsidRPr="00FF3F7D" w:rsidRDefault="00800FCD" w:rsidP="00C6684C">
            <w:pPr>
              <w:tabs>
                <w:tab w:val="left" w:pos="3261"/>
              </w:tabs>
              <w:spacing w:after="0" w:line="240" w:lineRule="auto"/>
              <w:rPr>
                <w:rFonts w:eastAsia="Times New Roman" w:cstheme="minorHAnsi"/>
                <w:color w:val="000000"/>
                <w:sz w:val="20"/>
                <w:szCs w:val="20"/>
                <w:lang w:eastAsia="sk-SK"/>
              </w:rPr>
            </w:pPr>
            <w:r w:rsidRPr="00800FCD">
              <w:rPr>
                <w:rFonts w:eastAsia="Times New Roman" w:cstheme="minorHAnsi"/>
                <w:color w:val="000000"/>
                <w:sz w:val="20"/>
                <w:szCs w:val="20"/>
                <w:lang w:eastAsia="sk-SK"/>
              </w:rPr>
              <w:t>0917 094</w:t>
            </w:r>
            <w:r>
              <w:rPr>
                <w:rFonts w:eastAsia="Times New Roman" w:cstheme="minorHAnsi"/>
                <w:color w:val="000000"/>
                <w:sz w:val="20"/>
                <w:szCs w:val="20"/>
                <w:lang w:eastAsia="sk-SK"/>
              </w:rPr>
              <w:t> </w:t>
            </w:r>
            <w:r w:rsidRPr="00800FCD">
              <w:rPr>
                <w:rFonts w:eastAsia="Times New Roman" w:cstheme="minorHAnsi"/>
                <w:color w:val="000000"/>
                <w:sz w:val="20"/>
                <w:szCs w:val="20"/>
                <w:lang w:eastAsia="sk-SK"/>
              </w:rPr>
              <w:t>134</w:t>
            </w:r>
            <w:r>
              <w:rPr>
                <w:rFonts w:eastAsia="Times New Roman" w:cstheme="minorHAnsi"/>
                <w:color w:val="000000"/>
                <w:sz w:val="20"/>
                <w:szCs w:val="20"/>
                <w:lang w:eastAsia="sk-SK"/>
              </w:rPr>
              <w:t>, starosta@hencovce.sk</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46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Osoba oprávnená konať vo veciach technických</w:t>
            </w:r>
          </w:p>
        </w:tc>
        <w:tc>
          <w:tcPr>
            <w:tcW w:w="4582" w:type="dxa"/>
            <w:tcBorders>
              <w:top w:val="nil"/>
              <w:left w:val="nil"/>
              <w:bottom w:val="nil"/>
              <w:right w:val="nil"/>
            </w:tcBorders>
            <w:shd w:val="clear" w:color="000000" w:fill="FFFFFF"/>
          </w:tcPr>
          <w:p w:rsidR="00F526E3" w:rsidRPr="00FF3F7D" w:rsidRDefault="00800FCD" w:rsidP="00692107">
            <w:pPr>
              <w:tabs>
                <w:tab w:val="left" w:pos="3261"/>
              </w:tabs>
              <w:spacing w:after="0" w:line="240" w:lineRule="auto"/>
              <w:ind w:left="395" w:hanging="395"/>
              <w:rPr>
                <w:rFonts w:eastAsia="Times New Roman" w:cstheme="minorHAnsi"/>
                <w:color w:val="000000"/>
                <w:sz w:val="20"/>
                <w:szCs w:val="20"/>
                <w:lang w:eastAsia="sk-SK"/>
              </w:rPr>
            </w:pPr>
            <w:r>
              <w:rPr>
                <w:rFonts w:eastAsia="Times New Roman" w:cstheme="minorHAnsi"/>
                <w:color w:val="000000"/>
                <w:sz w:val="20"/>
                <w:szCs w:val="20"/>
                <w:lang w:eastAsia="sk-SK"/>
              </w:rPr>
              <w:t>JUDr. Matúš Tomáš</w:t>
            </w:r>
          </w:p>
        </w:tc>
        <w:tc>
          <w:tcPr>
            <w:tcW w:w="3212"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bl>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r w:rsidRPr="00FF3F7D">
        <w:rPr>
          <w:rFonts w:eastAsia="Calibri" w:cstheme="minorHAnsi"/>
          <w:sz w:val="20"/>
          <w:szCs w:val="20"/>
          <w:lang w:eastAsia="cs-CZ"/>
        </w:rPr>
        <w:t>(ďalej len „objednávateľ“)</w:t>
      </w:r>
    </w:p>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EB3BAD" w:rsidRPr="00FF3F7D" w:rsidTr="0062161B">
        <w:trPr>
          <w:trHeight w:val="444"/>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Obchodné meno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Sídlo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Zastúpený:</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IČO: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DIČ:</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IČ DPH: </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Bankové spojenie:</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IBAN:</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Telefón, e-mail:</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52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4"/>
                <w:szCs w:val="24"/>
                <w:lang w:eastAsia="sk-SK"/>
              </w:rPr>
            </w:pPr>
            <w:r w:rsidRPr="00FF3F7D">
              <w:rPr>
                <w:rFonts w:ascii="Calibri" w:eastAsia="Times New Roman" w:hAnsi="Calibri" w:cs="Calibri"/>
                <w:color w:val="000000"/>
                <w:lang w:eastAsia="sk-SK"/>
              </w:rPr>
              <w:t xml:space="preserve"> </w:t>
            </w:r>
            <w:r w:rsidRPr="00FF3F7D">
              <w:rPr>
                <w:rFonts w:ascii="Calibri" w:eastAsia="Times New Roman"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bl>
    <w:p w:rsidR="00EB3BAD" w:rsidRPr="00FF3F7D" w:rsidRDefault="00EB3BAD" w:rsidP="00EB3BAD">
      <w:pPr>
        <w:widowControl w:val="0"/>
        <w:suppressAutoHyphens/>
        <w:autoSpaceDE w:val="0"/>
        <w:autoSpaceDN w:val="0"/>
        <w:spacing w:after="0" w:line="240" w:lineRule="auto"/>
        <w:ind w:left="2127" w:hanging="2127"/>
        <w:rPr>
          <w:rFonts w:eastAsia="Calibri" w:cstheme="minorHAnsi"/>
          <w:bCs/>
          <w:sz w:val="20"/>
          <w:szCs w:val="20"/>
          <w:lang w:eastAsia="cs-CZ"/>
        </w:rPr>
      </w:pPr>
      <w:r w:rsidRPr="00FF3F7D">
        <w:rPr>
          <w:rFonts w:eastAsia="Calibri" w:cstheme="minorHAnsi"/>
          <w:sz w:val="20"/>
          <w:szCs w:val="20"/>
          <w:lang w:eastAsia="cs-CZ"/>
        </w:rPr>
        <w:t xml:space="preserve"> (ďalej len "zhotoviteľ")</w:t>
      </w:r>
    </w:p>
    <w:p w:rsidR="00EB3BAD" w:rsidRPr="00FF3F7D" w:rsidRDefault="00EB3BAD" w:rsidP="00EB3BAD">
      <w:pPr>
        <w:widowControl w:val="0"/>
        <w:suppressAutoHyphens/>
        <w:autoSpaceDE w:val="0"/>
        <w:autoSpaceDN w:val="0"/>
        <w:spacing w:before="120" w:after="0" w:line="240" w:lineRule="auto"/>
        <w:jc w:val="both"/>
        <w:rPr>
          <w:rFonts w:eastAsia="Calibri" w:cstheme="minorHAnsi"/>
          <w:bCs/>
          <w:sz w:val="20"/>
          <w:szCs w:val="20"/>
          <w:lang w:eastAsia="cs-CZ"/>
        </w:rPr>
      </w:pPr>
      <w:r w:rsidRPr="00FF3F7D">
        <w:rPr>
          <w:rFonts w:eastAsia="Calibri" w:cstheme="minorHAnsi"/>
          <w:bCs/>
          <w:sz w:val="20"/>
          <w:szCs w:val="20"/>
          <w:lang w:eastAsia="cs-CZ"/>
        </w:rPr>
        <w:t>uzatvárajú podľa § 536 a </w:t>
      </w:r>
      <w:proofErr w:type="spellStart"/>
      <w:r w:rsidRPr="00FF3F7D">
        <w:rPr>
          <w:rFonts w:eastAsia="Calibri" w:cstheme="minorHAnsi"/>
          <w:bCs/>
          <w:sz w:val="20"/>
          <w:szCs w:val="20"/>
          <w:lang w:eastAsia="cs-CZ"/>
        </w:rPr>
        <w:t>nasl</w:t>
      </w:r>
      <w:proofErr w:type="spellEnd"/>
      <w:r w:rsidRPr="00FF3F7D">
        <w:rPr>
          <w:rFonts w:eastAsia="Calibri" w:cstheme="minorHAnsi"/>
          <w:bCs/>
          <w:sz w:val="20"/>
          <w:szCs w:val="20"/>
          <w:lang w:eastAsia="cs-CZ"/>
        </w:rPr>
        <w:t xml:space="preserve">. Obchodného zákonníka na základe výsledkov verejného obstarávania vyhláseného objednávateľom podľa zákona 343/2015 </w:t>
      </w:r>
      <w:proofErr w:type="spellStart"/>
      <w:r w:rsidRPr="00FF3F7D">
        <w:rPr>
          <w:rFonts w:eastAsia="Calibri" w:cstheme="minorHAnsi"/>
          <w:bCs/>
          <w:sz w:val="20"/>
          <w:szCs w:val="20"/>
          <w:lang w:eastAsia="cs-CZ"/>
        </w:rPr>
        <w:t>Z.z</w:t>
      </w:r>
      <w:proofErr w:type="spellEnd"/>
      <w:r w:rsidRPr="00FF3F7D">
        <w:rPr>
          <w:rFonts w:eastAsia="Calibri" w:cstheme="minorHAnsi"/>
          <w:bCs/>
          <w:sz w:val="20"/>
          <w:szCs w:val="20"/>
          <w:lang w:eastAsia="cs-CZ"/>
        </w:rPr>
        <w:t xml:space="preserve">. o verejnom obstarávaní a o zmene a doplnení niektorých zákonov v platnom znení  túto Zmluvu o dielo ( ďalej len  „Zmluva“ ) za nasledovných podmienok. </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II.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Predmet zmluvy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Predmetom tejto zmluvy je záväzok zhotoviteľa zhotoviť pre objednávateľa dielo</w:t>
      </w:r>
      <w:r w:rsidR="003A6C61">
        <w:rPr>
          <w:rFonts w:eastAsia="Times New Roman" w:cstheme="minorHAnsi"/>
          <w:sz w:val="20"/>
          <w:szCs w:val="20"/>
          <w:lang w:eastAsia="zh-CN"/>
        </w:rPr>
        <w:t>:</w:t>
      </w:r>
      <w:r w:rsidRPr="00FF3F7D">
        <w:rPr>
          <w:rFonts w:eastAsia="Times New Roman" w:cstheme="minorHAnsi"/>
          <w:sz w:val="20"/>
          <w:szCs w:val="20"/>
          <w:lang w:eastAsia="zh-CN"/>
        </w:rPr>
        <w:t xml:space="preserve">  </w:t>
      </w:r>
      <w:r w:rsidR="009B5C7D">
        <w:rPr>
          <w:b/>
        </w:rPr>
        <w:t xml:space="preserve">Zníženie energetickej náročnosti budovy obecného úradu v obci Hencovce </w:t>
      </w:r>
      <w:r w:rsidRPr="00FF3F7D">
        <w:rPr>
          <w:rFonts w:eastAsia="Times New Roman" w:cstheme="minorHAnsi"/>
          <w:sz w:val="20"/>
          <w:szCs w:val="20"/>
          <w:lang w:eastAsia="zh-CN"/>
        </w:rPr>
        <w:t xml:space="preserve"> (ďalej len „dielo“) </w:t>
      </w:r>
      <w:r w:rsidR="00C06F02" w:rsidRPr="009A5D27">
        <w:rPr>
          <w:rFonts w:eastAsia="Times New Roman" w:cstheme="minorHAnsi"/>
          <w:sz w:val="20"/>
          <w:szCs w:val="20"/>
          <w:lang w:eastAsia="zh-CN"/>
        </w:rPr>
        <w:t>podľa dohodnutých podmienok a záväzok objednávateľa riadne zhotovené dielo prevziať a zaplatiť zhotoviteľovi dohodnutú cenu diela, ktorá je výsledok súťaže uskutočnenej podľa zákona o verejnom obstarávaní č. 343/</w:t>
      </w:r>
      <w:r w:rsidR="00C06F02" w:rsidRPr="00E0115E">
        <w:rPr>
          <w:rFonts w:eastAsia="Times New Roman" w:cstheme="minorHAnsi"/>
          <w:sz w:val="20"/>
          <w:szCs w:val="20"/>
          <w:lang w:eastAsia="zh-CN"/>
        </w:rPr>
        <w:t>2015 Z. z. v znení neskorších predpisov, ktorá bola zverejnená vo Vestníku verejného obstarávania č</w:t>
      </w:r>
      <w:r w:rsidR="00920077">
        <w:rPr>
          <w:rFonts w:eastAsia="Times New Roman" w:cstheme="minorHAnsi"/>
          <w:sz w:val="20"/>
          <w:szCs w:val="20"/>
          <w:lang w:eastAsia="zh-CN"/>
        </w:rPr>
        <w:t xml:space="preserve"> </w:t>
      </w:r>
      <w:r w:rsidR="00920077" w:rsidRPr="00920077">
        <w:rPr>
          <w:rFonts w:eastAsia="Times New Roman" w:cstheme="minorHAnsi"/>
          <w:b/>
          <w:sz w:val="20"/>
          <w:szCs w:val="20"/>
          <w:lang w:eastAsia="zh-CN"/>
        </w:rPr>
        <w:t>79/2022</w:t>
      </w:r>
      <w:r w:rsidR="00C06F02">
        <w:rPr>
          <w:rFonts w:eastAsia="Times New Roman" w:cstheme="minorHAnsi"/>
          <w:sz w:val="20"/>
          <w:szCs w:val="20"/>
          <w:lang w:eastAsia="zh-CN"/>
        </w:rPr>
        <w:t xml:space="preserve"> zo dňa </w:t>
      </w:r>
      <w:r w:rsidR="00920077" w:rsidRPr="00920077">
        <w:rPr>
          <w:rFonts w:eastAsia="Times New Roman" w:cstheme="minorHAnsi"/>
          <w:b/>
          <w:sz w:val="20"/>
          <w:szCs w:val="20"/>
          <w:lang w:eastAsia="zh-CN"/>
        </w:rPr>
        <w:lastRenderedPageBreak/>
        <w:t>29.03.2022</w:t>
      </w:r>
      <w:r w:rsidR="00920077">
        <w:rPr>
          <w:rFonts w:eastAsia="Times New Roman" w:cstheme="minorHAnsi"/>
          <w:sz w:val="20"/>
          <w:szCs w:val="20"/>
          <w:lang w:eastAsia="zh-CN"/>
        </w:rPr>
        <w:t xml:space="preserve"> </w:t>
      </w:r>
      <w:r w:rsidR="00C06F02" w:rsidRPr="009A5D27">
        <w:rPr>
          <w:rFonts w:eastAsia="Times New Roman" w:cstheme="minorHAnsi"/>
          <w:sz w:val="20"/>
          <w:szCs w:val="20"/>
          <w:lang w:eastAsia="zh-CN"/>
        </w:rPr>
        <w:t xml:space="preserve"> </w:t>
      </w:r>
      <w:r w:rsidR="00C06F02" w:rsidRPr="00920077">
        <w:rPr>
          <w:rFonts w:eastAsia="Times New Roman" w:cstheme="minorHAnsi"/>
          <w:b/>
          <w:sz w:val="20"/>
          <w:szCs w:val="20"/>
          <w:lang w:eastAsia="zh-CN"/>
        </w:rPr>
        <w:t xml:space="preserve">pod označením </w:t>
      </w:r>
      <w:r w:rsidR="00920077" w:rsidRPr="00920077">
        <w:rPr>
          <w:rFonts w:eastAsia="Times New Roman" w:cstheme="minorHAnsi"/>
          <w:b/>
          <w:sz w:val="20"/>
          <w:szCs w:val="20"/>
          <w:lang w:eastAsia="zh-CN"/>
        </w:rPr>
        <w:t>17817-</w:t>
      </w:r>
      <w:r w:rsidR="00C06F02" w:rsidRPr="00920077">
        <w:rPr>
          <w:rFonts w:eastAsia="Times New Roman" w:cstheme="minorHAnsi"/>
          <w:b/>
          <w:sz w:val="20"/>
          <w:szCs w:val="20"/>
          <w:lang w:eastAsia="zh-CN"/>
        </w:rPr>
        <w:t>WYP</w:t>
      </w:r>
      <w:r w:rsidRPr="00FF3F7D">
        <w:rPr>
          <w:rFonts w:eastAsia="Times New Roman" w:cstheme="minorHAnsi"/>
          <w:sz w:val="20"/>
          <w:szCs w:val="20"/>
          <w:lang w:eastAsia="zh-CN"/>
        </w:rPr>
        <w:t xml:space="preserve">.   </w:t>
      </w:r>
    </w:p>
    <w:p w:rsidR="00EB3BAD" w:rsidRPr="00B01F74" w:rsidRDefault="00EB3BAD" w:rsidP="000578D1">
      <w:pPr>
        <w:widowControl w:val="0"/>
        <w:numPr>
          <w:ilvl w:val="1"/>
          <w:numId w:val="2"/>
        </w:numPr>
        <w:suppressAutoHyphens/>
        <w:spacing w:after="240" w:line="240" w:lineRule="auto"/>
        <w:jc w:val="both"/>
        <w:rPr>
          <w:rFonts w:eastAsia="Times New Roman" w:cstheme="minorHAnsi"/>
          <w:sz w:val="20"/>
          <w:szCs w:val="20"/>
          <w:lang w:eastAsia="zh-CN"/>
        </w:rPr>
      </w:pPr>
      <w:r w:rsidRPr="00B01F74">
        <w:rPr>
          <w:rFonts w:eastAsia="Times New Roman" w:cstheme="minorHAnsi"/>
          <w:sz w:val="20"/>
          <w:szCs w:val="20"/>
          <w:lang w:eastAsia="zh-CN"/>
        </w:rPr>
        <w:t xml:space="preserve">Zhotoviteľ sa zaväzuje zhotoviť dielo podľa projektovej dokumentácie stavby:  </w:t>
      </w:r>
      <w:r w:rsidR="00B01F74" w:rsidRPr="009302EF">
        <w:t>ZNÍŽENIE ENERGETICKEJ NÁROČNOSTI BUDOVY OBECNÉHO ÚRADU V OBCI HENCOVCE</w:t>
      </w:r>
      <w:r w:rsidR="00B01F74">
        <w:rPr>
          <w:b/>
        </w:rPr>
        <w:t xml:space="preserve"> </w:t>
      </w:r>
      <w:r w:rsidR="00B01F74" w:rsidRPr="00B01F74">
        <w:t>vypracovanou</w:t>
      </w:r>
      <w:r w:rsidR="009302EF">
        <w:t xml:space="preserve"> INŽINIERSKA AGENTÚRA, </w:t>
      </w:r>
      <w:proofErr w:type="spellStart"/>
      <w:r w:rsidR="009302EF">
        <w:t>s.r.o</w:t>
      </w:r>
      <w:proofErr w:type="spellEnd"/>
      <w:r w:rsidR="009302EF">
        <w:t xml:space="preserve">. Jarná 391/15 </w:t>
      </w:r>
      <w:r w:rsidR="003A6C61">
        <w:t>Vranov nad Topľou,</w:t>
      </w:r>
      <w:r w:rsidR="00B01F74" w:rsidRPr="00B01F74">
        <w:rPr>
          <w:b/>
        </w:rPr>
        <w:t xml:space="preserve"> </w:t>
      </w:r>
      <w:r w:rsidRPr="00B01F74">
        <w:rPr>
          <w:rFonts w:eastAsia="Times New Roman" w:cstheme="minorHAnsi"/>
          <w:sz w:val="20"/>
          <w:szCs w:val="20"/>
          <w:lang w:eastAsia="zh-CN"/>
        </w:rPr>
        <w:t xml:space="preserve"> </w:t>
      </w:r>
      <w:r w:rsidR="009302EF">
        <w:rPr>
          <w:rFonts w:eastAsia="Times New Roman" w:cstheme="minorHAnsi"/>
          <w:sz w:val="20"/>
          <w:szCs w:val="20"/>
          <w:lang w:eastAsia="zh-CN"/>
        </w:rPr>
        <w:t xml:space="preserve">zodpovedný projektant Ing. Ladislav </w:t>
      </w:r>
      <w:proofErr w:type="spellStart"/>
      <w:r w:rsidR="009302EF">
        <w:rPr>
          <w:rFonts w:eastAsia="Times New Roman" w:cstheme="minorHAnsi"/>
          <w:sz w:val="20"/>
          <w:szCs w:val="20"/>
          <w:lang w:eastAsia="zh-CN"/>
        </w:rPr>
        <w:t>Bľacha</w:t>
      </w:r>
      <w:proofErr w:type="spellEnd"/>
      <w:r w:rsidR="009302EF">
        <w:rPr>
          <w:rFonts w:eastAsia="Times New Roman" w:cstheme="minorHAnsi"/>
          <w:sz w:val="20"/>
          <w:szCs w:val="20"/>
          <w:lang w:eastAsia="zh-CN"/>
        </w:rPr>
        <w:t>, pr</w:t>
      </w:r>
      <w:r w:rsidR="003A6C61">
        <w:rPr>
          <w:rFonts w:eastAsia="Times New Roman" w:cstheme="minorHAnsi"/>
          <w:sz w:val="20"/>
          <w:szCs w:val="20"/>
          <w:lang w:eastAsia="zh-CN"/>
        </w:rPr>
        <w:t>o</w:t>
      </w:r>
      <w:r w:rsidR="009302EF">
        <w:rPr>
          <w:rFonts w:eastAsia="Times New Roman" w:cstheme="minorHAnsi"/>
          <w:sz w:val="20"/>
          <w:szCs w:val="20"/>
          <w:lang w:eastAsia="zh-CN"/>
        </w:rPr>
        <w:t xml:space="preserve">jektant stavby Ing. Martin </w:t>
      </w:r>
      <w:proofErr w:type="spellStart"/>
      <w:r w:rsidR="009302EF">
        <w:rPr>
          <w:rFonts w:eastAsia="Times New Roman" w:cstheme="minorHAnsi"/>
          <w:sz w:val="20"/>
          <w:szCs w:val="20"/>
          <w:lang w:eastAsia="zh-CN"/>
        </w:rPr>
        <w:t>Matisko</w:t>
      </w:r>
      <w:proofErr w:type="spellEnd"/>
      <w:r w:rsidR="009302EF">
        <w:rPr>
          <w:rFonts w:eastAsia="Times New Roman" w:cstheme="minorHAnsi"/>
          <w:sz w:val="20"/>
          <w:szCs w:val="20"/>
          <w:lang w:eastAsia="zh-CN"/>
        </w:rPr>
        <w:t xml:space="preserve"> </w:t>
      </w:r>
      <w:r w:rsidRPr="00B01F74">
        <w:rPr>
          <w:rFonts w:eastAsia="Times New Roman" w:cstheme="minorHAnsi"/>
          <w:sz w:val="20"/>
          <w:szCs w:val="20"/>
          <w:lang w:eastAsia="zh-CN"/>
        </w:rPr>
        <w:t xml:space="preserve">a rozpočtu predloženého zhotoviteľom v procese verejného obstarávania za podmienok dohodnutých v tejto Zmluve, a zhotovené dielo riadne a včas odovzdať objednávateľovi v zodpovedajúcej kvalite a v ponúknutej cene. </w:t>
      </w:r>
    </w:p>
    <w:p w:rsidR="00B01F74" w:rsidRPr="00B01F74" w:rsidRDefault="00C06F02" w:rsidP="00DB0E16">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B01F74">
        <w:rPr>
          <w:rFonts w:eastAsia="Times New Roman" w:cstheme="minorHAnsi"/>
          <w:sz w:val="20"/>
          <w:szCs w:val="20"/>
          <w:lang w:eastAsia="zh-CN"/>
        </w:rPr>
        <w:t>Predmet Zmluvy bude financovaný z nenávratného finančného príspevku poskytnutého Objednávateľovi Ministerstvom životného prostredia Slovenskej republiky, ako riadiacim orgánom pre Operačný program Kvalita životného prostredia (ďalej „Poskytovateľ NFP“) pre projekt</w:t>
      </w:r>
      <w:r w:rsidR="00B01F74">
        <w:rPr>
          <w:rFonts w:eastAsia="Times New Roman" w:cstheme="minorHAnsi"/>
          <w:sz w:val="20"/>
          <w:szCs w:val="20"/>
          <w:lang w:eastAsia="zh-CN"/>
        </w:rPr>
        <w:t>:</w:t>
      </w:r>
      <w:r w:rsidR="00B01F74" w:rsidRPr="00B01F74">
        <w:rPr>
          <w:rFonts w:eastAsia="Times New Roman" w:cstheme="minorHAnsi"/>
          <w:sz w:val="20"/>
          <w:szCs w:val="20"/>
          <w:lang w:eastAsia="zh-CN"/>
        </w:rPr>
        <w:t xml:space="preserve">  </w:t>
      </w:r>
      <w:r w:rsidR="00B01F74" w:rsidRPr="009302EF">
        <w:rPr>
          <w:rFonts w:eastAsia="Times New Roman" w:cstheme="minorHAnsi"/>
          <w:b/>
          <w:i/>
          <w:sz w:val="20"/>
          <w:szCs w:val="20"/>
          <w:lang w:eastAsia="zh-CN"/>
        </w:rPr>
        <w:t>Zníženie energetickej náročnosti budovy Obecného úradu v obci Hencovce</w:t>
      </w:r>
      <w:r w:rsidR="00B01F74" w:rsidRPr="009302EF">
        <w:rPr>
          <w:rFonts w:eastAsia="Times New Roman" w:cstheme="minorHAnsi"/>
          <w:b/>
          <w:sz w:val="20"/>
          <w:szCs w:val="20"/>
          <w:lang w:eastAsia="zh-CN"/>
        </w:rPr>
        <w:t xml:space="preserve"> </w:t>
      </w:r>
      <w:r w:rsidRPr="00B01F74">
        <w:rPr>
          <w:rFonts w:eastAsia="Times New Roman" w:cstheme="minorHAnsi"/>
          <w:sz w:val="20"/>
          <w:szCs w:val="20"/>
          <w:lang w:eastAsia="zh-CN"/>
        </w:rPr>
        <w:t xml:space="preserve"> (ďalej „Projekt“). Sprostredkovateľským orgánom pre Operačný program Kvalita životného prostredia vo fáze implementácie projektov je Slovenská inovačná a energetická agentúra (kód výzvy: </w:t>
      </w:r>
      <w:r w:rsidR="00FF5960" w:rsidRPr="00B01F74">
        <w:rPr>
          <w:rFonts w:eastAsia="Times New Roman" w:cstheme="minorHAnsi"/>
          <w:sz w:val="20"/>
          <w:szCs w:val="20"/>
          <w:lang w:eastAsia="zh-CN"/>
        </w:rPr>
        <w:t>OPKZP-PO4-SC431-2021-68</w:t>
      </w:r>
      <w:r w:rsidR="00B01F74" w:rsidRPr="00B01F74">
        <w:rPr>
          <w:rFonts w:eastAsia="Times New Roman" w:cstheme="minorHAnsi"/>
          <w:sz w:val="20"/>
          <w:szCs w:val="20"/>
          <w:lang w:eastAsia="zh-CN"/>
        </w:rPr>
        <w:t xml:space="preserve">, </w:t>
      </w:r>
      <w:r w:rsidRPr="00B01F74">
        <w:rPr>
          <w:rFonts w:eastAsia="Times New Roman" w:cstheme="minorHAnsi"/>
          <w:sz w:val="20"/>
          <w:szCs w:val="20"/>
          <w:lang w:eastAsia="zh-CN"/>
        </w:rPr>
        <w:t xml:space="preserve"> žiadosť o NFP č</w:t>
      </w:r>
      <w:r w:rsidR="00B01F74" w:rsidRPr="00B01F74">
        <w:rPr>
          <w:rFonts w:eastAsia="Times New Roman" w:cstheme="minorHAnsi"/>
          <w:sz w:val="20"/>
          <w:szCs w:val="20"/>
          <w:lang w:eastAsia="zh-CN"/>
        </w:rPr>
        <w:t xml:space="preserve"> NFP310040CBJ6.</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sa zaväzuje zhotoviť dielo vo vlastnom mene a na vlastnú zodpovednosť, na vlastné náklady a v dojednanom čase. Pokiaľ zhotoviteľ poverí vykonaním diela inú osobu, má zodpovednosť akoby dielo vykonal sám.</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podpisom tejto Zmluvy potvrdzuje, že sa pred podpisom Zmluvy riadne oboznámil s Projektovou dokumentáciou a Výkazom výmer</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rsidR="00EB3BAD" w:rsidRPr="00FF3F7D" w:rsidRDefault="00EB3BAD" w:rsidP="00EB3BAD">
      <w:pPr>
        <w:widowControl w:val="0"/>
        <w:suppressAutoHyphens/>
        <w:autoSpaceDE w:val="0"/>
        <w:autoSpaceDN w:val="0"/>
        <w:spacing w:before="120" w:after="0" w:line="240" w:lineRule="auto"/>
        <w:ind w:left="142"/>
        <w:jc w:val="center"/>
        <w:rPr>
          <w:rFonts w:eastAsia="Calibri" w:cstheme="minorHAnsi"/>
          <w:b/>
          <w:bCs/>
          <w:sz w:val="20"/>
          <w:szCs w:val="20"/>
          <w:lang w:eastAsia="cs-CZ"/>
        </w:rPr>
      </w:pPr>
      <w:r w:rsidRPr="00FF3F7D">
        <w:rPr>
          <w:rFonts w:eastAsia="Calibri" w:cstheme="minorHAnsi"/>
          <w:b/>
          <w:bCs/>
          <w:sz w:val="20"/>
          <w:szCs w:val="20"/>
          <w:lang w:eastAsia="cs-CZ"/>
        </w:rPr>
        <w:t>Článok III.</w:t>
      </w:r>
    </w:p>
    <w:p w:rsidR="00EB3BAD" w:rsidRPr="00FF5960"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5960">
        <w:rPr>
          <w:rFonts w:eastAsia="Calibri" w:cstheme="minorHAnsi"/>
          <w:b/>
          <w:bCs/>
          <w:sz w:val="20"/>
          <w:szCs w:val="20"/>
          <w:lang w:eastAsia="cs-CZ"/>
        </w:rPr>
        <w:t>Miesto plnenia</w:t>
      </w:r>
    </w:p>
    <w:p w:rsidR="00EB3BAD" w:rsidRPr="00FF5960" w:rsidRDefault="00EB3BAD" w:rsidP="00EB3BAD">
      <w:pPr>
        <w:widowControl w:val="0"/>
        <w:numPr>
          <w:ilvl w:val="0"/>
          <w:numId w:val="1"/>
        </w:numPr>
        <w:suppressAutoHyphens/>
        <w:spacing w:after="0" w:line="240" w:lineRule="auto"/>
        <w:jc w:val="both"/>
        <w:rPr>
          <w:rFonts w:eastAsia="Calibri" w:cstheme="minorHAnsi"/>
          <w:vanish/>
          <w:sz w:val="20"/>
          <w:szCs w:val="20"/>
          <w:lang w:eastAsia="cs-CZ"/>
        </w:rPr>
      </w:pPr>
    </w:p>
    <w:p w:rsidR="00EB3BAD" w:rsidRPr="00FF5960" w:rsidRDefault="00EB3BAD" w:rsidP="00EB3BAD">
      <w:pPr>
        <w:widowControl w:val="0"/>
        <w:numPr>
          <w:ilvl w:val="0"/>
          <w:numId w:val="1"/>
        </w:numPr>
        <w:suppressAutoHyphens/>
        <w:spacing w:after="0" w:line="240" w:lineRule="auto"/>
        <w:jc w:val="both"/>
        <w:rPr>
          <w:rFonts w:eastAsia="Calibri" w:cstheme="minorHAnsi"/>
          <w:vanish/>
          <w:sz w:val="20"/>
          <w:szCs w:val="20"/>
          <w:lang w:eastAsia="cs-CZ"/>
        </w:rPr>
      </w:pPr>
    </w:p>
    <w:p w:rsidR="00EB3BAD" w:rsidRPr="00FF5960"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5960" w:rsidRDefault="00EB3BAD" w:rsidP="00FF596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5960">
        <w:rPr>
          <w:rFonts w:eastAsia="Times New Roman" w:cstheme="minorHAnsi"/>
          <w:sz w:val="20"/>
          <w:szCs w:val="20"/>
          <w:lang w:eastAsia="zh-CN"/>
        </w:rPr>
        <w:t xml:space="preserve">Miestom zhotovenia (vykonania) diela je: </w:t>
      </w:r>
      <w:r w:rsidR="00F526E3" w:rsidRPr="00FF5960">
        <w:t xml:space="preserve">katastrálne územie </w:t>
      </w:r>
      <w:r w:rsidR="00FF5960" w:rsidRPr="00FF5960">
        <w:rPr>
          <w:rFonts w:cstheme="minorHAnsi"/>
        </w:rPr>
        <w:t>Hencovce na parcele 248/1</w:t>
      </w:r>
      <w:r w:rsidR="00B01F74">
        <w:rPr>
          <w:rFonts w:cstheme="minorHAnsi"/>
        </w:rPr>
        <w:t>, 248/4</w:t>
      </w:r>
    </w:p>
    <w:p w:rsidR="00EB3BAD" w:rsidRPr="0043376D" w:rsidRDefault="00EB3BAD" w:rsidP="00EB3BAD">
      <w:pPr>
        <w:widowControl w:val="0"/>
        <w:suppressAutoHyphens/>
        <w:autoSpaceDE w:val="0"/>
        <w:autoSpaceDN w:val="0"/>
        <w:adjustRightInd w:val="0"/>
        <w:spacing w:after="0" w:line="240" w:lineRule="auto"/>
        <w:ind w:left="1200"/>
        <w:rPr>
          <w:rFonts w:eastAsia="Times New Roman" w:cstheme="minorHAnsi"/>
          <w:b/>
          <w:bCs/>
          <w:sz w:val="20"/>
          <w:szCs w:val="20"/>
          <w:lang w:eastAsia="cs-CZ"/>
        </w:rPr>
      </w:pPr>
    </w:p>
    <w:p w:rsidR="00EB3BAD" w:rsidRPr="00FF3F7D" w:rsidRDefault="00EB3BAD" w:rsidP="00EB3BAD">
      <w:pPr>
        <w:widowControl w:val="0"/>
        <w:suppressAutoHyphens/>
        <w:autoSpaceDE w:val="0"/>
        <w:autoSpaceDN w:val="0"/>
        <w:adjustRightInd w:val="0"/>
        <w:spacing w:after="0" w:line="240" w:lineRule="auto"/>
        <w:jc w:val="center"/>
        <w:rPr>
          <w:rFonts w:eastAsia="Times New Roman" w:cstheme="minorHAnsi"/>
          <w:b/>
          <w:bCs/>
          <w:sz w:val="20"/>
          <w:szCs w:val="20"/>
          <w:lang w:eastAsia="cs-CZ"/>
        </w:rPr>
      </w:pPr>
      <w:r w:rsidRPr="0043376D">
        <w:rPr>
          <w:rFonts w:eastAsia="Times New Roman" w:cstheme="minorHAnsi"/>
          <w:b/>
          <w:bCs/>
          <w:sz w:val="20"/>
          <w:szCs w:val="20"/>
          <w:lang w:eastAsia="cs-CZ"/>
        </w:rPr>
        <w:t>Článok IV.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Cena diela</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5960"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5960">
        <w:rPr>
          <w:rFonts w:eastAsia="Times New Roman" w:cstheme="minorHAnsi"/>
          <w:sz w:val="20"/>
          <w:szCs w:val="20"/>
          <w:lang w:eastAsia="zh-CN"/>
        </w:rPr>
        <w:t xml:space="preserve">Cena diela v celom rozsahu podľa článku II. tejto zmluvy je stanovená dohodou zmluvných strán v zmysle zákona NR SR č. 18/1996 Z .z. o cenách v znení neskorších predpisov. </w:t>
      </w:r>
      <w:r w:rsidR="004E0993" w:rsidRPr="00FF5960">
        <w:rPr>
          <w:rFonts w:eastAsia="Times New Roman" w:cstheme="minorHAnsi"/>
          <w:sz w:val="20"/>
          <w:szCs w:val="20"/>
          <w:lang w:eastAsia="zh-CN"/>
        </w:rPr>
        <w:t xml:space="preserve">Dohodnutá cena diela je konečná </w:t>
      </w:r>
      <w:r w:rsidR="004E0993" w:rsidRPr="00FF5960">
        <w:rPr>
          <w:rFonts w:cstheme="minorHAnsi"/>
          <w:sz w:val="21"/>
          <w:szCs w:val="21"/>
          <w:lang w:eastAsia="cs-CZ"/>
        </w:rPr>
        <w:t>a je možné ju meniť len v prípade prác naviac a zmeny sadzby DPH v súlade s príslušnými právnymi predpismi formou písomného dodatku k tejto Zmluve</w:t>
      </w:r>
      <w:r w:rsidRPr="00FF5960">
        <w:rPr>
          <w:rFonts w:eastAsia="Times New Roman" w:cstheme="minorHAnsi"/>
          <w:sz w:val="20"/>
          <w:szCs w:val="20"/>
          <w:lang w:eastAsia="zh-CN"/>
        </w:rPr>
        <w:t>.</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celkom:</w:t>
      </w:r>
    </w:p>
    <w:p w:rsidR="00EB3BAD" w:rsidRPr="00FF3F7D" w:rsidRDefault="00EB3BAD" w:rsidP="00EB3BAD">
      <w:pPr>
        <w:widowControl w:val="0"/>
        <w:suppressAutoHyphens/>
        <w:spacing w:after="0" w:line="240" w:lineRule="auto"/>
        <w:jc w:val="both"/>
        <w:rPr>
          <w:rFonts w:eastAsia="Times New Roman" w:cstheme="minorHAnsi"/>
          <w:sz w:val="20"/>
          <w:szCs w:val="20"/>
          <w:lang w:eastAsia="zh-CN"/>
        </w:rPr>
      </w:pPr>
    </w:p>
    <w:tbl>
      <w:tblPr>
        <w:tblStyle w:val="Mriekatabuky"/>
        <w:tblW w:w="0" w:type="auto"/>
        <w:tblInd w:w="1951" w:type="dxa"/>
        <w:tblLook w:val="04A0" w:firstRow="1" w:lastRow="0" w:firstColumn="1" w:lastColumn="0" w:noHBand="0" w:noVBand="1"/>
      </w:tblPr>
      <w:tblGrid>
        <w:gridCol w:w="2977"/>
        <w:gridCol w:w="2977"/>
      </w:tblGrid>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bez DPH:</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DPH (20 %):</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s DPH:</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bl>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je stanovená na základe projektovej dokumentácie pre stavebné povolenie. Projekt obsahuje okrem výkresovej a textovej časti aj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prác stavbyvedúcim Objednávateľa. Pre vznik nároku Zhotoviteľa na vystavenie faktúry je potrebné uzavrieš písomný dodatok k tejto Zmluve, ktorý podlieha schváleniu poskytovateľa nenávratných finančných prostriedkov.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17EC">
        <w:rPr>
          <w:rFonts w:eastAsia="Times New Roman" w:cstheme="minorHAnsi"/>
          <w:sz w:val="20"/>
          <w:szCs w:val="20"/>
          <w:lang w:eastAsia="zh-CN"/>
        </w:rPr>
        <w:t>Naviac práce predstavujú práce nad rámec dojednaný v tejto Zmluve, pričom pre vylúčenie pochybností sa má za to, že naviac práce sú výlučne práce neobsiahnuté v projektovej dokumentácii a/alebo vo Výkaze výmer. Zistené a identifikované naviac práce, ktoré sa nenachádzajú vo výkresovej časti projektovej dokumentácii a/alebo vo Výkaze výmer</w:t>
      </w:r>
      <w:r>
        <w:rPr>
          <w:rFonts w:eastAsia="Times New Roman" w:cstheme="minorHAnsi"/>
          <w:sz w:val="20"/>
          <w:szCs w:val="20"/>
          <w:lang w:eastAsia="zh-CN"/>
        </w:rPr>
        <w:t>.</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zrealizovať stavebné Dielo bez vád, nedorobkov, vyhotovené riadne v požadovanej kvalite a na požadovanej úrovni v ponúknutej cene a v súlade s projektovou dokumentáciou.</w:t>
      </w:r>
    </w:p>
    <w:p w:rsidR="00EB3BAD" w:rsidRPr="00FF5960" w:rsidRDefault="00EB3BAD" w:rsidP="006D76B1">
      <w:pPr>
        <w:widowControl w:val="0"/>
        <w:numPr>
          <w:ilvl w:val="1"/>
          <w:numId w:val="2"/>
        </w:numPr>
        <w:suppressAutoHyphens/>
        <w:autoSpaceDE w:val="0"/>
        <w:autoSpaceDN w:val="0"/>
        <w:spacing w:before="120" w:after="0" w:line="240" w:lineRule="auto"/>
        <w:ind w:left="567" w:hanging="567"/>
        <w:jc w:val="both"/>
        <w:rPr>
          <w:rFonts w:eastAsia="Calibri" w:cstheme="minorHAnsi"/>
          <w:b/>
          <w:bCs/>
          <w:sz w:val="20"/>
          <w:szCs w:val="20"/>
          <w:lang w:eastAsia="cs-CZ"/>
        </w:rPr>
      </w:pPr>
      <w:r w:rsidRPr="00FF5960">
        <w:rPr>
          <w:rFonts w:eastAsia="Times New Roman" w:cstheme="minorHAnsi"/>
          <w:sz w:val="20"/>
          <w:szCs w:val="20"/>
          <w:lang w:eastAsia="zh-CN"/>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w:t>
      </w:r>
      <w:r w:rsidR="004E0993" w:rsidRPr="00FF5960">
        <w:rPr>
          <w:rFonts w:eastAsia="Times New Roman" w:cstheme="minorHAnsi"/>
          <w:sz w:val="20"/>
          <w:szCs w:val="20"/>
          <w:lang w:eastAsia="zh-CN"/>
        </w:rPr>
        <w:t> </w:t>
      </w:r>
      <w:r w:rsidRPr="00FF5960">
        <w:rPr>
          <w:rFonts w:eastAsia="Times New Roman" w:cstheme="minorHAnsi"/>
          <w:sz w:val="20"/>
          <w:szCs w:val="20"/>
          <w:lang w:eastAsia="zh-CN"/>
        </w:rPr>
        <w:t>dokumentácie</w:t>
      </w:r>
      <w:r w:rsidR="004E0993" w:rsidRPr="00FF5960">
        <w:rPr>
          <w:rFonts w:eastAsia="Times New Roman" w:cstheme="minorHAnsi"/>
          <w:sz w:val="20"/>
          <w:szCs w:val="20"/>
          <w:lang w:eastAsia="zh-CN"/>
        </w:rPr>
        <w:t xml:space="preserve">, </w:t>
      </w:r>
      <w:r w:rsidR="004E0993" w:rsidRPr="00FF5960">
        <w:rPr>
          <w:rFonts w:cstheme="minorHAnsi"/>
          <w:sz w:val="20"/>
          <w:szCs w:val="20"/>
        </w:rPr>
        <w:t xml:space="preserve">v prípade zvýšenia cien energie, nákladov dopravy, cien stavebných materiálov a pod., </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color w:val="FF0000"/>
          <w:sz w:val="20"/>
          <w:szCs w:val="20"/>
          <w:lang w:eastAsia="cs-CZ"/>
        </w:rPr>
      </w:pPr>
      <w:r w:rsidRPr="00FF3F7D">
        <w:rPr>
          <w:rFonts w:eastAsia="Calibri" w:cstheme="minorHAnsi"/>
          <w:b/>
          <w:bCs/>
          <w:sz w:val="20"/>
          <w:szCs w:val="20"/>
          <w:lang w:eastAsia="cs-CZ"/>
        </w:rPr>
        <w:t xml:space="preserve">Čas plnenia </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B12CBC"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12CBC">
        <w:rPr>
          <w:rFonts w:eastAsia="Times New Roman" w:cstheme="minorHAnsi"/>
          <w:sz w:val="20"/>
          <w:szCs w:val="20"/>
          <w:lang w:eastAsia="zh-CN"/>
        </w:rPr>
        <w:t xml:space="preserve">Zhotoviteľ sa zaväzuje dielo podľa čl. II. tejto Zmluvy zhotoviť a odovzdať objednávateľovi v lehote zhotovenia  </w:t>
      </w:r>
      <w:r w:rsidRPr="00B12CBC">
        <w:rPr>
          <w:rFonts w:eastAsia="Times New Roman" w:cstheme="minorHAnsi"/>
          <w:b/>
          <w:sz w:val="20"/>
          <w:szCs w:val="20"/>
          <w:lang w:eastAsia="zh-CN"/>
        </w:rPr>
        <w:t xml:space="preserve">do </w:t>
      </w:r>
      <w:r w:rsidR="00C06F02" w:rsidRPr="00B12CBC">
        <w:rPr>
          <w:rFonts w:eastAsia="Times New Roman" w:cstheme="minorHAnsi"/>
          <w:b/>
          <w:sz w:val="20"/>
          <w:szCs w:val="20"/>
          <w:lang w:eastAsia="zh-CN"/>
        </w:rPr>
        <w:t>8</w:t>
      </w:r>
      <w:r w:rsidR="00C6684C" w:rsidRPr="00B12CBC">
        <w:rPr>
          <w:rFonts w:eastAsia="Times New Roman" w:cstheme="minorHAnsi"/>
          <w:b/>
          <w:sz w:val="20"/>
          <w:szCs w:val="20"/>
          <w:lang w:eastAsia="zh-CN"/>
        </w:rPr>
        <w:t xml:space="preserve"> </w:t>
      </w:r>
      <w:r w:rsidR="00F526E3" w:rsidRPr="00B12CBC">
        <w:rPr>
          <w:rFonts w:eastAsia="Times New Roman" w:cstheme="minorHAnsi"/>
          <w:b/>
          <w:sz w:val="20"/>
          <w:szCs w:val="20"/>
          <w:lang w:eastAsia="zh-CN"/>
        </w:rPr>
        <w:t xml:space="preserve"> mesiacov</w:t>
      </w:r>
      <w:r w:rsidRPr="00B12CBC">
        <w:rPr>
          <w:rFonts w:eastAsia="Times New Roman" w:cstheme="minorHAnsi"/>
          <w:b/>
          <w:sz w:val="20"/>
          <w:szCs w:val="20"/>
          <w:lang w:eastAsia="zh-CN"/>
        </w:rPr>
        <w:t xml:space="preserve">  odo  dňa  odovzdania a prevzatia staveniska</w:t>
      </w:r>
      <w:r w:rsidRPr="00B12CBC">
        <w:rPr>
          <w:rFonts w:eastAsia="Times New Roman" w:cstheme="minorHAnsi"/>
          <w:sz w:val="20"/>
          <w:szCs w:val="20"/>
          <w:lang w:eastAsia="zh-CN"/>
        </w:rPr>
        <w:t xml:space="preserve">. </w:t>
      </w:r>
    </w:p>
    <w:p w:rsidR="00EB3BAD" w:rsidRPr="00B12CBC"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12CBC">
        <w:rPr>
          <w:rFonts w:cstheme="minorHAnsi"/>
          <w:sz w:val="20"/>
          <w:szCs w:val="20"/>
        </w:rPr>
        <w:t xml:space="preserve">Zhotoviteľ je povinný prevziať stavenisko od Objednávateľa najneskôr </w:t>
      </w:r>
      <w:r w:rsidRPr="00B12CBC">
        <w:rPr>
          <w:rFonts w:cstheme="minorHAnsi"/>
          <w:b/>
          <w:sz w:val="20"/>
          <w:szCs w:val="20"/>
        </w:rPr>
        <w:t xml:space="preserve">do 7  kalendárnych dní </w:t>
      </w:r>
      <w:r w:rsidRPr="00B12CBC">
        <w:rPr>
          <w:rFonts w:cstheme="minorHAnsi"/>
          <w:sz w:val="20"/>
          <w:szCs w:val="20"/>
        </w:rPr>
        <w:t>odo dňa písomného (resp. e-mailového) doručenia "Výzvy na prevzatie staveniska", ktorá bude Zhotoviteľovi zaslaná Objednávateľom. O odovzdaní a prevzatí staveniska spíšu Zmluvné strany Zápisnicu. Zhotoviteľ je povinný prevziať stavenisko aj v prípade, ak je možné začať vykonávať práce čo i len na časti Diela.</w:t>
      </w:r>
      <w:r w:rsidR="004E0993" w:rsidRPr="00B12CBC">
        <w:rPr>
          <w:rFonts w:cstheme="minorHAnsi"/>
          <w:sz w:val="20"/>
          <w:szCs w:val="20"/>
        </w:rPr>
        <w:t xml:space="preserve"> </w:t>
      </w:r>
      <w:r w:rsidR="004E0993" w:rsidRPr="00B12CBC">
        <w:rPr>
          <w:sz w:val="20"/>
          <w:szCs w:val="20"/>
        </w:rPr>
        <w:t>V</w:t>
      </w:r>
      <w:r w:rsidR="00B12CBC" w:rsidRPr="00B12CBC">
        <w:rPr>
          <w:sz w:val="20"/>
          <w:szCs w:val="20"/>
        </w:rPr>
        <w:t xml:space="preserve"> </w:t>
      </w:r>
      <w:r w:rsidR="004E0993" w:rsidRPr="00B12CBC">
        <w:rPr>
          <w:sz w:val="20"/>
          <w:szCs w:val="20"/>
        </w:rPr>
        <w:t>prípade, ak si Zhotoviteľ stavenisko neprevezme v stanovenej lehote ( do 7 dní ) a bol na prevzatia vyzvaný, považuje sa stavenisko za odovzdané a prevzaté na účely tejto zmluvy uplynutím tejto lehoty.</w:t>
      </w:r>
    </w:p>
    <w:p w:rsidR="00EB3BAD" w:rsidRPr="00440F5B"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12CBC">
        <w:rPr>
          <w:rFonts w:eastAsia="Times New Roman" w:cstheme="minorHAnsi"/>
          <w:sz w:val="20"/>
          <w:szCs w:val="20"/>
          <w:lang w:eastAsia="zh-CN"/>
        </w:rPr>
        <w:t>Zmluvné strany sa dohodli, že zhotoviteľ nie je v omeškaní po dobu, po ktorú nemohol plniť svoju</w:t>
      </w:r>
      <w:r w:rsidRPr="00440F5B">
        <w:rPr>
          <w:rFonts w:eastAsia="Times New Roman" w:cstheme="minorHAnsi"/>
          <w:sz w:val="20"/>
          <w:szCs w:val="20"/>
          <w:lang w:eastAsia="zh-CN"/>
        </w:rPr>
        <w:t xml:space="preserve">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je povinný do 3 dní písomne informovať objednávateľa o vzniku akejkoľvek udalosti, ktorá má vplyv na realizáciu diela. O tejto skutočnosti musí byť uvedený záznam v stavebnom denníku.</w:t>
      </w:r>
    </w:p>
    <w:p w:rsidR="00EB3BAD" w:rsidRPr="00B12CBC"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Zhotoviteľ sa </w:t>
      </w:r>
      <w:r w:rsidRPr="00B12CBC">
        <w:rPr>
          <w:rFonts w:eastAsia="Times New Roman" w:cstheme="minorHAnsi"/>
          <w:sz w:val="20"/>
          <w:szCs w:val="20"/>
          <w:lang w:eastAsia="zh-CN"/>
        </w:rPr>
        <w:t xml:space="preserve">zaväzuje zahájiť práce </w:t>
      </w:r>
      <w:r w:rsidRPr="00B12CBC">
        <w:rPr>
          <w:rFonts w:eastAsia="Times New Roman" w:cstheme="minorHAnsi"/>
          <w:b/>
          <w:sz w:val="20"/>
          <w:szCs w:val="20"/>
          <w:lang w:eastAsia="zh-CN"/>
        </w:rPr>
        <w:t>do 7 kalendárnych dní od dňa prevzatia staveniska</w:t>
      </w:r>
      <w:r w:rsidRPr="00B12CBC">
        <w:rPr>
          <w:rFonts w:eastAsia="Times New Roman" w:cstheme="minorHAnsi"/>
          <w:sz w:val="20"/>
          <w:szCs w:val="20"/>
          <w:lang w:eastAsia="zh-CN"/>
        </w:rPr>
        <w:t>.</w:t>
      </w:r>
    </w:p>
    <w:p w:rsidR="00EB3BAD" w:rsidRPr="00FF3F7D" w:rsidRDefault="00EB3BAD" w:rsidP="00EB3BAD">
      <w:pPr>
        <w:widowControl w:val="0"/>
        <w:suppressAutoHyphens/>
        <w:spacing w:after="0" w:line="240" w:lineRule="auto"/>
        <w:jc w:val="both"/>
        <w:rPr>
          <w:rFonts w:eastAsia="Calibri" w:cstheme="minorHAnsi"/>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Zoznam zodpovedných osôb</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Zoznam osôb zodpovedných za riadenie stavebných prác pri realizácii predmetu tejto Zmluvy o dielo:</w:t>
      </w:r>
    </w:p>
    <w:p w:rsidR="00EB3BAD" w:rsidRPr="00FF3F7D" w:rsidRDefault="00EB3BAD" w:rsidP="00EB3BAD">
      <w:pPr>
        <w:widowControl w:val="0"/>
        <w:suppressAutoHyphens/>
        <w:autoSpaceDE w:val="0"/>
        <w:autoSpaceDN w:val="0"/>
        <w:spacing w:before="120" w:after="0" w:line="240" w:lineRule="auto"/>
        <w:ind w:left="708"/>
        <w:rPr>
          <w:rFonts w:eastAsia="Calibri" w:cstheme="minorHAnsi"/>
          <w:bCs/>
          <w:i/>
          <w:sz w:val="20"/>
          <w:szCs w:val="20"/>
          <w:lang w:eastAsia="cs-CZ"/>
        </w:rPr>
      </w:pPr>
      <w:r w:rsidRPr="00FF3F7D">
        <w:rPr>
          <w:rFonts w:eastAsia="Calibri" w:cstheme="minorHAnsi"/>
          <w:bCs/>
          <w:sz w:val="20"/>
          <w:szCs w:val="20"/>
          <w:lang w:eastAsia="cs-CZ"/>
        </w:rPr>
        <w:lastRenderedPageBreak/>
        <w:t>Za objednávateľa: stavebný dozor</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EB3BAD" w:rsidRPr="00FF3F7D" w:rsidRDefault="00EB3BAD" w:rsidP="00EB3BAD">
      <w:pPr>
        <w:widowControl w:val="0"/>
        <w:suppressAutoHyphens/>
        <w:autoSpaceDE w:val="0"/>
        <w:autoSpaceDN w:val="0"/>
        <w:spacing w:before="120" w:after="0" w:line="240" w:lineRule="auto"/>
        <w:ind w:left="708"/>
        <w:rPr>
          <w:rFonts w:eastAsia="Calibri" w:cstheme="minorHAnsi"/>
          <w:bCs/>
          <w:sz w:val="20"/>
          <w:szCs w:val="20"/>
          <w:lang w:eastAsia="cs-CZ"/>
        </w:rPr>
      </w:pPr>
      <w:r w:rsidRPr="00FF3F7D">
        <w:rPr>
          <w:rFonts w:eastAsia="Calibri" w:cstheme="minorHAnsi"/>
          <w:bCs/>
          <w:sz w:val="20"/>
          <w:szCs w:val="20"/>
          <w:lang w:eastAsia="cs-CZ"/>
        </w:rPr>
        <w:t xml:space="preserve">Za zhotoviteľa: stavbyvedúci </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VII.</w:t>
      </w:r>
    </w:p>
    <w:p w:rsidR="00EB3BA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Podmienky uskutočnenia prác</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Spolupôsobenie objednávateľa, zodpovednosť za škodu, stavenisko, zabezpečenie ochrany staveniska a poistenie stavby, požiarne predpisy a predpisy BOZP</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odovzdá zhotoviteľovi stavenisko s vymedzenými hranicami na základe písomnej výzvy objednávateľa. Zhotoviteľ je povinný prevziať stavenisko do 5 dní odo dňa doručenia výzvy na prevzatie staveniska. O odovzdaní a prevzatí staveniska spíšu zmluvné strany protokol, ktorý podpíšu oprávnení </w:t>
      </w:r>
      <w:r w:rsidRPr="0043376D">
        <w:rPr>
          <w:rFonts w:eastAsia="Times New Roman" w:cstheme="minorHAnsi"/>
          <w:sz w:val="20"/>
          <w:szCs w:val="20"/>
          <w:lang w:eastAsia="zh-CN"/>
        </w:rPr>
        <w:t>zástupcovia zmluvných strán.</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12CBC">
        <w:rPr>
          <w:rFonts w:eastAsia="Times New Roman" w:cstheme="minorHAnsi"/>
          <w:sz w:val="20"/>
          <w:szCs w:val="20"/>
          <w:lang w:eastAsia="zh-CN"/>
        </w:rPr>
        <w:t xml:space="preserve">Zhotoviteľ </w:t>
      </w:r>
      <w:r w:rsidR="0062161B" w:rsidRPr="00B12CBC">
        <w:rPr>
          <w:rFonts w:eastAsia="Times New Roman" w:cstheme="minorHAnsi"/>
          <w:sz w:val="20"/>
          <w:szCs w:val="20"/>
          <w:lang w:eastAsia="zh-CN"/>
        </w:rPr>
        <w:t xml:space="preserve">najneskôr ku dňu prevzatia staveniska </w:t>
      </w:r>
      <w:r w:rsidRPr="00B12CBC">
        <w:rPr>
          <w:rFonts w:eastAsia="Times New Roman" w:cstheme="minorHAnsi"/>
          <w:sz w:val="20"/>
          <w:szCs w:val="20"/>
          <w:lang w:eastAsia="zh-CN"/>
        </w:rPr>
        <w:t xml:space="preserve"> preukáže objednávateľovi, že má uzatvorenú zmluvu o poistení </w:t>
      </w:r>
      <w:r w:rsidRPr="00B12CBC">
        <w:rPr>
          <w:rFonts w:eastAsia="Times New Roman" w:cstheme="minorHAnsi"/>
          <w:b/>
          <w:bCs/>
          <w:sz w:val="20"/>
          <w:szCs w:val="20"/>
          <w:lang w:eastAsia="zh-CN"/>
        </w:rPr>
        <w:t>na krytie rizík zo stavebných prác</w:t>
      </w:r>
      <w:r w:rsidRPr="00B12CBC">
        <w:rPr>
          <w:rFonts w:eastAsia="Times New Roman" w:cstheme="minorHAnsi"/>
          <w:bCs/>
          <w:sz w:val="20"/>
          <w:szCs w:val="20"/>
          <w:lang w:eastAsia="zh-CN"/>
        </w:rPr>
        <w:t xml:space="preserve"> </w:t>
      </w:r>
      <w:r w:rsidRPr="00B12CBC">
        <w:rPr>
          <w:rFonts w:eastAsia="Times New Roman" w:cstheme="minorHAnsi"/>
          <w:sz w:val="20"/>
          <w:szCs w:val="20"/>
          <w:lang w:eastAsia="zh-CN"/>
        </w:rPr>
        <w:t>po celú dobu realizácie diela.</w:t>
      </w:r>
      <w:r w:rsidRPr="00FF3F7D">
        <w:rPr>
          <w:rFonts w:eastAsia="Times New Roman" w:cstheme="minorHAnsi"/>
          <w:sz w:val="20"/>
          <w:szCs w:val="20"/>
          <w:lang w:eastAsia="zh-CN"/>
        </w:rPr>
        <w:t xml:space="preserve"> Požadované zmluvné poistné krytie musí byť minimálne vo výške cenového návrhu</w:t>
      </w:r>
      <w:r w:rsidR="00BA2084">
        <w:rPr>
          <w:rFonts w:eastAsia="Times New Roman" w:cstheme="minorHAnsi"/>
          <w:sz w:val="20"/>
          <w:szCs w:val="20"/>
          <w:lang w:eastAsia="zh-CN"/>
        </w:rPr>
        <w:t xml:space="preserve"> s DPH</w:t>
      </w:r>
      <w:r w:rsidRPr="00FF3F7D">
        <w:rPr>
          <w:rFonts w:eastAsia="Times New Roman" w:cstheme="minorHAnsi"/>
          <w:sz w:val="20"/>
          <w:szCs w:val="20"/>
          <w:lang w:eastAsia="zh-CN"/>
        </w:rPr>
        <w:t xml:space="preserve"> zhotoviteľa, ktorý ponúkol v procese verejného obstarávania. Poistenie musí byť platné počas celej doby realizácie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odovzdá zhotoviteľovi súčasne so staveniskom:</w:t>
      </w:r>
    </w:p>
    <w:p w:rsidR="00EB3BAD" w:rsidRPr="00FF3F7D" w:rsidRDefault="00EB3BAD" w:rsidP="00EB3BAD">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dokumentáciu stavby v 1 vyhotovení,</w:t>
      </w:r>
    </w:p>
    <w:p w:rsidR="00EB3BAD" w:rsidRPr="00FF3F7D" w:rsidRDefault="00EB3BAD" w:rsidP="00EB3BAD">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stavebné povolenie a dokladovú časť,</w:t>
      </w:r>
    </w:p>
    <w:p w:rsidR="00EB3BAD" w:rsidRPr="00FF3F7D" w:rsidRDefault="00EB3BAD" w:rsidP="00EB3BAD">
      <w:pPr>
        <w:widowControl w:val="0"/>
        <w:numPr>
          <w:ilvl w:val="0"/>
          <w:numId w:val="3"/>
        </w:numPr>
        <w:tabs>
          <w:tab w:val="num" w:pos="1090"/>
          <w:tab w:val="num" w:pos="1985"/>
        </w:tabs>
        <w:suppressAutoHyphens/>
        <w:autoSpaceDE w:val="0"/>
        <w:autoSpaceDN w:val="0"/>
        <w:spacing w:after="0" w:line="240" w:lineRule="auto"/>
        <w:ind w:left="1210" w:hanging="502"/>
        <w:jc w:val="both"/>
        <w:rPr>
          <w:rFonts w:eastAsia="Calibri" w:cstheme="minorHAnsi"/>
          <w:sz w:val="20"/>
          <w:szCs w:val="20"/>
          <w:lang w:eastAsia="cs-CZ"/>
        </w:rPr>
      </w:pPr>
      <w:r w:rsidRPr="00FF3F7D">
        <w:rPr>
          <w:rFonts w:eastAsia="Calibri" w:cstheme="minorHAnsi"/>
          <w:sz w:val="20"/>
          <w:szCs w:val="20"/>
          <w:lang w:eastAsia="cs-CZ"/>
        </w:rPr>
        <w:t xml:space="preserve">odberové miesta elektrickej energie a vody.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 </w:t>
      </w:r>
    </w:p>
    <w:p w:rsidR="00EB3BAD" w:rsidRPr="00FF3F7D" w:rsidRDefault="00EB3BAD" w:rsidP="00EB3BAD">
      <w:pPr>
        <w:widowControl w:val="0"/>
        <w:suppressAutoHyphens/>
        <w:autoSpaceDE w:val="0"/>
        <w:autoSpaceDN w:val="0"/>
        <w:adjustRightInd w:val="0"/>
        <w:spacing w:after="0" w:line="240" w:lineRule="auto"/>
        <w:ind w:left="708"/>
        <w:jc w:val="both"/>
        <w:rPr>
          <w:rFonts w:eastAsia="Calibri" w:cstheme="minorHAnsi"/>
          <w:sz w:val="20"/>
          <w:szCs w:val="20"/>
          <w:lang w:eastAsia="sk-SK"/>
        </w:rPr>
      </w:pPr>
      <w:r w:rsidRPr="00FF3F7D">
        <w:rPr>
          <w:rFonts w:eastAsia="Calibri" w:cstheme="minorHAnsi"/>
          <w:sz w:val="20"/>
          <w:szCs w:val="20"/>
          <w:lang w:eastAsia="sk-SK"/>
        </w:rPr>
        <w:t xml:space="preserve">Zhotoviteľ bude zhotovovať dielo počas plnej prevádzky škôlky, čomu je povinný prispôsobiť vecný a časový harmonogram realizácie diela.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Zriadenie, prevádzkovanie, likvidácia,  recyklácia, vypratanie a vyčistenie zariadenia staveniska, ako aj zabezpečenie prípadnej zmeny v dopravnom značení, ak to bude potrebné s ohľadom na bod 7.7., je zahrnuté v  cene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uhradí počas výstavby všetky náklady na energie na stavbe vrátane zabezpečenia ich dočasných prípojov a meračov.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Umiestnenie a udržiavanie dopravných značiek v súvislosti s priebehom prác v súlade s predpismi o pozemných komunikáciách zabezpečí a uhradí zhotoviteľ.</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poveruje stavbyvedúceho vedením stavebného denníka.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Stavebný denník sa musí nachádzať na stavbe a musí byť vždy prístupný zástupcom objednávateľa, projektanta, stavebnému dozoru a dotknutých orgánov štátnej správy.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Pokiaľ stavbyvedúci nesúhlasí so zápisom, ktorý vykoná objednávateľ alebo ním poverený zástupca, </w:t>
      </w:r>
      <w:r w:rsidRPr="00FF3F7D">
        <w:rPr>
          <w:rFonts w:eastAsia="Times New Roman" w:cstheme="minorHAnsi"/>
          <w:sz w:val="20"/>
          <w:szCs w:val="20"/>
          <w:lang w:eastAsia="zh-CN"/>
        </w:rPr>
        <w:lastRenderedPageBreak/>
        <w:t xml:space="preserve">prípadne spracovateľ projektu, musí k tomuto zápisu zaujať svoje stanovisko.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Poverený zástupca objednávateľa je povinný podpisovať, ako aj v prípade potreby sa písomne vyjadrovať k zápisom v stavebnom denníku vykonaným zhotoviteľom.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zmeny je zhotoviteľ povinný zdôvodniť zápisom do stavebného denníka. Zmeny materiálov nesmú mať vplyv na kvalitu diela. Zápisy v stavebnom denníku obojstranne odsúhlasené stavbyvedúcim </w:t>
      </w:r>
      <w:r w:rsidRPr="0043376D">
        <w:rPr>
          <w:rFonts w:eastAsia="Times New Roman" w:cstheme="minorHAnsi"/>
          <w:sz w:val="20"/>
          <w:szCs w:val="20"/>
          <w:lang w:eastAsia="zh-CN"/>
        </w:rPr>
        <w:t>a stavebným dozorom objednávateľa nemajú charakter zmeny zmluvy.</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w:t>
      </w:r>
      <w:r w:rsidR="003910AF" w:rsidRPr="0043376D">
        <w:rPr>
          <w:rFonts w:eastAsia="Times New Roman" w:cstheme="minorHAnsi"/>
          <w:sz w:val="20"/>
          <w:szCs w:val="20"/>
          <w:lang w:eastAsia="zh-CN"/>
        </w:rPr>
        <w:t xml:space="preserve"> sa</w:t>
      </w:r>
      <w:r w:rsidRPr="0043376D">
        <w:rPr>
          <w:rFonts w:eastAsia="Times New Roman" w:cstheme="minorHAnsi"/>
          <w:sz w:val="20"/>
          <w:szCs w:val="20"/>
          <w:lang w:eastAsia="zh-CN"/>
        </w:rPr>
        <w:t> zaväzuje sa zabezpečiť a označiť stavbu tak, aby nedošlo k</w:t>
      </w:r>
      <w:r w:rsidR="003910AF" w:rsidRPr="0043376D">
        <w:rPr>
          <w:rFonts w:eastAsia="Times New Roman" w:cstheme="minorHAnsi"/>
          <w:sz w:val="20"/>
          <w:szCs w:val="20"/>
          <w:lang w:eastAsia="zh-CN"/>
        </w:rPr>
        <w:t> </w:t>
      </w:r>
      <w:r w:rsidRPr="0043376D">
        <w:rPr>
          <w:rFonts w:eastAsia="Times New Roman" w:cstheme="minorHAnsi"/>
          <w:sz w:val="20"/>
          <w:szCs w:val="20"/>
          <w:lang w:eastAsia="zh-CN"/>
        </w:rPr>
        <w:t>úrazu</w:t>
      </w:r>
      <w:r w:rsidR="003910AF" w:rsidRPr="0043376D">
        <w:rPr>
          <w:rFonts w:eastAsia="Times New Roman" w:cstheme="minorHAnsi"/>
          <w:sz w:val="20"/>
          <w:szCs w:val="20"/>
          <w:lang w:eastAsia="zh-CN"/>
        </w:rPr>
        <w:t>.</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je povinný plniť ohlasovaciu povinnosť v prípade vzniku mimoriadnych udalostí</w:t>
      </w:r>
      <w:r w:rsidRPr="00FF3F7D">
        <w:rPr>
          <w:rFonts w:eastAsia="Times New Roman" w:cstheme="minorHAnsi"/>
          <w:sz w:val="20"/>
          <w:szCs w:val="20"/>
          <w:lang w:eastAsia="zh-CN"/>
        </w:rPr>
        <w:t xml:space="preserve"> (úrazy, požiare, havárie a pod.) voči príslušným štátnym orgánom a vznik takejto udalosti oznámiť neodkladne aj objednávateľovi za účelom objektívneho vyšetrenia a prijatia preventívnych opatrení.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Práce, ktoré vykazujú už v priebehu realizácie nedostatky alebo sú v rozpore s STN musí zhotoviteľ na vlastné náklady nahradiť bezchybnými prácami.</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rsidR="00EB3BAD" w:rsidRPr="00B12CBC"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12CBC">
        <w:rPr>
          <w:rFonts w:eastAsia="Times New Roman" w:cstheme="minorHAnsi"/>
          <w:sz w:val="20"/>
          <w:szCs w:val="20"/>
          <w:lang w:eastAsia="zh-CN"/>
        </w:rPr>
        <w:t xml:space="preserve">Zhotoviteľ zabezpečí zhodnocovanie odpadov recykláciou prevádzkou zariadenia na zhodnocovanie odpadov podľa zákona č. 79/2015 </w:t>
      </w:r>
      <w:proofErr w:type="spellStart"/>
      <w:r w:rsidRPr="00B12CBC">
        <w:rPr>
          <w:rFonts w:eastAsia="Times New Roman" w:cstheme="minorHAnsi"/>
          <w:sz w:val="20"/>
          <w:szCs w:val="20"/>
          <w:lang w:eastAsia="zh-CN"/>
        </w:rPr>
        <w:t>Z.z</w:t>
      </w:r>
      <w:proofErr w:type="spellEnd"/>
      <w:r w:rsidRPr="00B12CBC">
        <w:rPr>
          <w:rFonts w:eastAsia="Times New Roman" w:cstheme="minorHAnsi"/>
          <w:sz w:val="20"/>
          <w:szCs w:val="20"/>
          <w:lang w:eastAsia="zh-CN"/>
        </w:rPr>
        <w:t>. o odpadoch a o zmene a doplnení niektorých zákonov a jeho prílohy č. 1 pre činnosť R5 – Recyklácia alebo spätné získavanie iných anorganických materiálov.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počas realizácie diela má právo kontrolovať vykonávanie prác a priebežne zhotoviteľa upozorniť na prípadné vady s požiadavkou ich odstránenia v primeranej lehote.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bez zbytočného odkladu písomne upozorní objednávateľa na nevhodné pokyny, ktoré mu objednávateľ dal na vyhotovenie diela. V prípade prerušenia prác z tohto dôvodu nie je zhotoviteľ v omeškaní.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Nebezpečenstvo škody na diele, ako aj na veciach a materiáloch, potrebných na zhotovenie diela, znáša zhotoviteľ až do času protokolárneho prevzatia diela objednávateľom.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indikovanej zhotoviteľom, tento vyzve objednávateľa na účasť rovnakým spôsobom.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bezpečnosť práce, ochranu zdravia zamestnancov, bezpečnosť technických </w:t>
      </w:r>
      <w:r w:rsidRPr="00FF3F7D">
        <w:rPr>
          <w:rFonts w:eastAsia="Times New Roman" w:cstheme="minorHAnsi"/>
          <w:sz w:val="20"/>
          <w:szCs w:val="20"/>
          <w:lang w:eastAsia="zh-CN"/>
        </w:rPr>
        <w:lastRenderedPageBreak/>
        <w:t xml:space="preserve">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Pre odovzdanie predmetu zmluvy platí: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objednávateľ odmietne podpísať protokol o odovzdaní a prevzatí predmetu zmluvy, spíšu zmluvné strany zápis, v ktorom uvedú svoje stanoviská a ich odôvodnenie,</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pri preberacom konaní odovzdať objednávateľovi v 2 vyhotoveniach: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projektovú dokumentáciu skutočného vyhotovenia so zakreslením všetkých zmien podľa skutočného stavu vykonaných prác v dvoch tlačených vyhotoveniach a v elektronickej forme, zoznam strojov, zariadení, ktoré sú súčasťou dodávky, ich </w:t>
      </w:r>
      <w:proofErr w:type="spellStart"/>
      <w:r w:rsidRPr="00FF3F7D">
        <w:rPr>
          <w:rFonts w:eastAsia="Calibri" w:cstheme="minorHAnsi"/>
          <w:sz w:val="20"/>
          <w:szCs w:val="20"/>
          <w:lang w:eastAsia="cs-CZ"/>
        </w:rPr>
        <w:t>pasporty</w:t>
      </w:r>
      <w:proofErr w:type="spellEnd"/>
      <w:r w:rsidRPr="00FF3F7D">
        <w:rPr>
          <w:rFonts w:eastAsia="Calibri" w:cstheme="minorHAnsi"/>
          <w:sz w:val="20"/>
          <w:szCs w:val="20"/>
          <w:lang w:eastAsia="cs-CZ"/>
        </w:rPr>
        <w:t xml:space="preserve"> a návody na obsluhu v slovenskom jazyku, resp. v inom jazyku ale s prekladom do slovenského jazyka,</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a osvedčenia o vykonaných skúškach použitých materiálov,</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preverení prác a konštrukcií v priebehu zakrytých prác vrátane fotodokumentácie priebehu týchto prác,</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individuálnom a komplexnom vyskúšaní zmontovaných zariadení,</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doklady o vykonaných funkčných skúškach,</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východiskové revízne správy elektrických zariadení vrátane bleskozvodov.</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certifikáty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 odovzdaní diela usporiadať stroje, zariadenia a zvyšný materiál na stavenisku tak, aby dielo mohlo byť riadne užívané, pričom stavenisko je povinný vypratať do 10 dní odo dňa odovzdania a prevzatia diela.</w:t>
      </w:r>
    </w:p>
    <w:p w:rsidR="00EB3BAD" w:rsidRPr="00FF3F7D" w:rsidRDefault="00EB3BAD" w:rsidP="00EB3BAD">
      <w:pPr>
        <w:widowControl w:val="0"/>
        <w:suppressAutoHyphens/>
        <w:spacing w:before="120" w:after="0" w:line="240" w:lineRule="auto"/>
        <w:jc w:val="both"/>
        <w:rPr>
          <w:rFonts w:eastAsia="Calibri" w:cstheme="minorHAnsi"/>
          <w:sz w:val="20"/>
          <w:szCs w:val="20"/>
          <w:lang w:eastAsia="cs-CZ"/>
        </w:rPr>
      </w:pPr>
    </w:p>
    <w:p w:rsidR="00EB3BAD" w:rsidRPr="00FF3F7D" w:rsidRDefault="00EB3BAD" w:rsidP="00EB3BAD">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Článok VIII.</w:t>
      </w:r>
    </w:p>
    <w:p w:rsidR="00EB3BAD" w:rsidRPr="00FF3F7D" w:rsidRDefault="00EB3BAD" w:rsidP="00EB3BAD">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Subdodávatelia</w:t>
      </w:r>
    </w:p>
    <w:p w:rsidR="00EB3BAD" w:rsidRPr="00FF3F7D" w:rsidRDefault="00EB3BAD" w:rsidP="00EB3BAD">
      <w:pPr>
        <w:widowControl w:val="0"/>
        <w:suppressAutoHyphens/>
        <w:spacing w:after="0" w:line="240" w:lineRule="auto"/>
        <w:ind w:left="709"/>
        <w:jc w:val="both"/>
        <w:rPr>
          <w:rFonts w:eastAsia="Calibri" w:cstheme="minorHAnsi"/>
          <w:sz w:val="20"/>
          <w:szCs w:val="20"/>
          <w:lang w:eastAsia="sk-SK"/>
        </w:rPr>
      </w:pP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ktorý má povinnosť zapisovať sa do registra partnerov verejného sektora, je povinný byť  rovnako oko Zhotoviteľ zapísaný v registri partnerov verejného sektora.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musí spĺňať podmienky účasti týkajúce sa osobného postavenia podľa §32 ods.1 písm. e) zákona o verejnom obstarávaní.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oprávnený kedykoľvek počas trvania zmluvy vymeniť ktoréhokoľvek subdodávateľa, a to za predpokladu, že nový subdodávateľ spĺňa podmienky účasti týkajúce sa osobného postavenia podľa </w:t>
      </w:r>
      <w:r w:rsidRPr="00FF3F7D">
        <w:rPr>
          <w:rFonts w:eastAsia="Times New Roman" w:cstheme="minorHAnsi"/>
          <w:sz w:val="20"/>
          <w:szCs w:val="20"/>
          <w:lang w:eastAsia="zh-CN"/>
        </w:rPr>
        <w:lastRenderedPageBreak/>
        <w:t>§ 32 ods. 1  písm. e) zákona č. 343/2015 Z. z. o verejnom obstarávaní.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oznámiť Objednávateľovi akúkoľvek zmenu údajov o každom subdodávateľovi počas plnenia diela a to bezodkladne, najneskôr v deň nasledujúcom po dni, kedy k zmene došlo.</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w:t>
      </w:r>
      <w:r>
        <w:rPr>
          <w:rFonts w:eastAsia="Times New Roman" w:cstheme="minorHAnsi"/>
          <w:sz w:val="20"/>
          <w:szCs w:val="20"/>
          <w:lang w:eastAsia="zh-CN"/>
        </w:rPr>
        <w:t>:</w:t>
      </w:r>
    </w:p>
    <w:p w:rsidR="00EB3BAD" w:rsidRPr="00440F5B"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písomné oznámenie Objednávateľovi o zmene subdodávateľa a v tomto oznámení uviesť min. nasledovné: %-</w:t>
      </w:r>
      <w:proofErr w:type="spellStart"/>
      <w:r w:rsidRPr="00440F5B">
        <w:rPr>
          <w:rFonts w:eastAsia="Times New Roman" w:cstheme="minorHAnsi"/>
          <w:sz w:val="20"/>
          <w:szCs w:val="20"/>
          <w:lang w:eastAsia="zh-CN"/>
        </w:rPr>
        <w:t>ný</w:t>
      </w:r>
      <w:proofErr w:type="spellEnd"/>
      <w:r w:rsidRPr="00440F5B">
        <w:rPr>
          <w:rFonts w:eastAsia="Times New Roman" w:cstheme="minorHAnsi"/>
          <w:sz w:val="20"/>
          <w:szCs w:val="20"/>
          <w:lang w:eastAsia="zh-CN"/>
        </w:rPr>
        <w:t xml:space="preserve"> podiel zákazky, ktorý má v úmysle zadať tretím osobám, navrhovaných nových subdodávateľov, predmety plnenia. </w:t>
      </w:r>
    </w:p>
    <w:p w:rsidR="00EB3BAD" w:rsidRPr="00440F5B"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záväzné vyhlásenie Zhotoviteľa,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sektora</w:t>
      </w:r>
    </w:p>
    <w:p w:rsidR="00EB3BAD" w:rsidRPr="00D037BA"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vyhlásenie , že každý subdodávateľ, ktorého</w:t>
      </w:r>
      <w:r w:rsidRPr="00D037BA">
        <w:rPr>
          <w:rFonts w:eastAsia="Times New Roman" w:cstheme="minorHAnsi"/>
          <w:sz w:val="20"/>
          <w:szCs w:val="20"/>
          <w:lang w:eastAsia="zh-CN"/>
        </w:rPr>
        <w:t xml:space="preserve"> sa zmena týka spĺňa podmienky osobného postavenia podľa § 32 ods. 1 písm</w:t>
      </w:r>
      <w:r>
        <w:rPr>
          <w:rFonts w:eastAsia="Times New Roman" w:cstheme="minorHAnsi"/>
          <w:sz w:val="20"/>
          <w:szCs w:val="20"/>
          <w:lang w:eastAsia="zh-CN"/>
        </w:rPr>
        <w:t>.</w:t>
      </w:r>
      <w:r w:rsidRPr="00D037BA">
        <w:rPr>
          <w:rFonts w:eastAsia="Times New Roman" w:cstheme="minorHAnsi"/>
          <w:sz w:val="20"/>
          <w:szCs w:val="20"/>
          <w:lang w:eastAsia="zh-CN"/>
        </w:rPr>
        <w:t xml:space="preserve"> e) zákona č. 343/2015 </w:t>
      </w:r>
      <w:proofErr w:type="spellStart"/>
      <w:r w:rsidRPr="00D037BA">
        <w:rPr>
          <w:rFonts w:eastAsia="Times New Roman" w:cstheme="minorHAnsi"/>
          <w:sz w:val="20"/>
          <w:szCs w:val="20"/>
          <w:lang w:eastAsia="zh-CN"/>
        </w:rPr>
        <w:t>Z.z</w:t>
      </w:r>
      <w:proofErr w:type="spellEnd"/>
      <w:r w:rsidRPr="00D037BA">
        <w:rPr>
          <w:rFonts w:eastAsia="Times New Roman" w:cstheme="minorHAnsi"/>
          <w:sz w:val="20"/>
          <w:szCs w:val="20"/>
          <w:lang w:eastAsia="zh-CN"/>
        </w:rPr>
        <w:t xml:space="preserve">. o verejnom obstarávaní.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 u všetkých subdodávateľov.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podľa tohto článku, má Objednávateľ právo odstúpiť od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si vyhradzuje právo odmietnuť subdodávateľa, ktorý je s ním v obchodnom, súdnom alebo    inom spore.</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IX.</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Platobné podmienky</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p>
    <w:p w:rsidR="00EB3BAD" w:rsidRPr="00FF3F7D" w:rsidRDefault="00EB3BAD" w:rsidP="00EB3BAD">
      <w:pPr>
        <w:widowControl w:val="0"/>
        <w:numPr>
          <w:ilvl w:val="0"/>
          <w:numId w:val="2"/>
        </w:numPr>
        <w:suppressAutoHyphens/>
        <w:spacing w:after="0" w:line="240" w:lineRule="auto"/>
        <w:jc w:val="both"/>
        <w:rPr>
          <w:rFonts w:eastAsia="Calibri" w:cstheme="minorHAnsi"/>
          <w:vanish/>
          <w:color w:val="000000"/>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neposkytuje finančné preddavky na predmet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musí svoje práce vyúčtovať overiteľným spôsobom. Podkladom pre vystavenie faktúry je súpis skutočne vykonaných druhov a množstiev prác zhotoviteľa, odsúhlasený a podpísaný technickým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p>
    <w:p w:rsidR="00EB3BAD" w:rsidRPr="00C06F02"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C06F02">
        <w:rPr>
          <w:rFonts w:eastAsia="Times New Roman" w:cstheme="minorHAnsi"/>
          <w:sz w:val="20"/>
          <w:szCs w:val="20"/>
          <w:lang w:eastAsia="zh-CN"/>
        </w:rPr>
        <w:t xml:space="preserve">Zhotoviteľ môže vystaviť </w:t>
      </w:r>
      <w:r w:rsidRPr="00C06F02">
        <w:rPr>
          <w:rFonts w:eastAsia="Times New Roman" w:cstheme="minorHAnsi"/>
          <w:b/>
          <w:sz w:val="20"/>
          <w:szCs w:val="20"/>
          <w:lang w:eastAsia="zh-CN"/>
        </w:rPr>
        <w:t xml:space="preserve">maximálne </w:t>
      </w:r>
      <w:r w:rsidR="004D73FC">
        <w:rPr>
          <w:rFonts w:eastAsia="Times New Roman" w:cstheme="minorHAnsi"/>
          <w:b/>
          <w:sz w:val="20"/>
          <w:szCs w:val="20"/>
          <w:lang w:eastAsia="zh-CN"/>
        </w:rPr>
        <w:t>4</w:t>
      </w:r>
      <w:r w:rsidR="00624C36" w:rsidRPr="00C06F02">
        <w:rPr>
          <w:rFonts w:eastAsia="Times New Roman" w:cstheme="minorHAnsi"/>
          <w:b/>
          <w:sz w:val="20"/>
          <w:szCs w:val="20"/>
          <w:lang w:eastAsia="zh-CN"/>
        </w:rPr>
        <w:t xml:space="preserve"> faktúry </w:t>
      </w:r>
      <w:r w:rsidRPr="00C06F02">
        <w:rPr>
          <w:rFonts w:eastAsia="Times New Roman" w:cstheme="minorHAnsi"/>
          <w:b/>
          <w:sz w:val="20"/>
          <w:szCs w:val="20"/>
          <w:lang w:eastAsia="zh-CN"/>
        </w:rPr>
        <w:t>počas realizácie diela</w:t>
      </w:r>
      <w:r w:rsidRPr="00C06F02">
        <w:rPr>
          <w:rFonts w:eastAsia="Times New Roman" w:cstheme="minorHAnsi"/>
          <w:sz w:val="20"/>
          <w:szCs w:val="20"/>
          <w:lang w:eastAsia="zh-CN"/>
        </w:rPr>
        <w:t>. Zhotoviteľ môže zahrnúť do fakturovanej sumy len úplne dokončené ucelené položky rozpočtu – výkazu výmer podľa Prílohy č. 1 tejto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vystaví faktúru najneskôr do dvoch dní  od odsúhlasenia Súpisu vykonaných prác a doručí ju objednávateľovi.  Splatnosť vystavených faktúr  je </w:t>
      </w:r>
      <w:r w:rsidRPr="004D73FC">
        <w:rPr>
          <w:rFonts w:eastAsia="Times New Roman" w:cstheme="minorHAnsi"/>
          <w:b/>
          <w:sz w:val="20"/>
          <w:szCs w:val="20"/>
          <w:lang w:eastAsia="zh-CN"/>
        </w:rPr>
        <w:t>60 dní odo dňa doručenia objednávateľovi</w:t>
      </w:r>
      <w:r w:rsidRPr="00FF3F7D">
        <w:rPr>
          <w:rFonts w:eastAsia="Times New Roman" w:cstheme="minorHAnsi"/>
          <w:sz w:val="20"/>
          <w:szCs w:val="20"/>
          <w:lang w:eastAsia="zh-CN"/>
        </w:rPr>
        <w:t xml:space="preserve">. </w:t>
      </w:r>
    </w:p>
    <w:p w:rsidR="00EB3BAD" w:rsidRPr="00FF3F7D" w:rsidRDefault="00EB3BAD" w:rsidP="00EB3BAD">
      <w:pPr>
        <w:widowControl w:val="0"/>
        <w:suppressAutoHyphens/>
        <w:spacing w:after="0" w:line="240" w:lineRule="auto"/>
        <w:ind w:left="1080"/>
        <w:jc w:val="both"/>
        <w:rPr>
          <w:rFonts w:eastAsia="Times New Roman" w:cstheme="minorHAnsi"/>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Faktúra vystavená zhotoviteľom musí obsahovať všetky náležitosti daňového dokladu v súlade s platnou 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Objednávateľ požaduje, aby vystavená faktúra zhotoviteľom obsahovala minimálne nasledujúce náležitosti, a to:</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„faktúra“ a jej poradové číslo,</w:t>
      </w:r>
    </w:p>
    <w:p w:rsidR="00EB3BA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identifikačné údaje zhotoviteľa a objednávateľa (obchodné meno, adresa sídla, IČO, DIČ, IČ DPH, registrácia),</w:t>
      </w:r>
    </w:p>
    <w:p w:rsidR="00AA215D" w:rsidRPr="00FF3F7D" w:rsidRDefault="00AA215D" w:rsidP="00AA215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AA215D">
        <w:rPr>
          <w:rFonts w:eastAsia="Calibri" w:cstheme="minorHAnsi"/>
          <w:sz w:val="20"/>
          <w:szCs w:val="20"/>
          <w:lang w:eastAsia="cs-CZ"/>
        </w:rPr>
        <w:t>presný názov investičnej akcie vrátane ITMS kódu projektu</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číslo Zmluvy, vrátane prípadného dodatku k Zmluve,</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dátum vyhotovenia faktúry, dátum splatnosti faktúry a dátum zdaniteľného plnenia,</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fakturovanú cenu bez DPH, hodnotu DPH a celkovú fakturovanú  cenu v Eur,</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peňažného ústavu  a číslo účtu IBAN, na ktorý sa má platiť,</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pečiatka a podpis oprávnenej osoby,</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text fakturácie s uvedením min. názvu stavebného diela </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Platby za vykonané práce nemajú vplyv na záruky poskytované zhotoviteľom a neplatia ako doklad o prevzatí prác a dodávok.</w:t>
      </w:r>
    </w:p>
    <w:p w:rsidR="00AA215D" w:rsidRPr="001E3CAA" w:rsidRDefault="00AA215D" w:rsidP="002871D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E3CAA">
        <w:rPr>
          <w:rFonts w:eastAsia="Times New Roman" w:cstheme="minorHAnsi"/>
          <w:sz w:val="20"/>
          <w:szCs w:val="20"/>
          <w:lang w:eastAsia="zh-CN"/>
        </w:rPr>
        <w:t xml:space="preserve">Zhotoviteľ je povinný poskytnúť objednávateľovi zábezpeku na vykonanie prác a na splnenie zmluvných záväzkov (ďalej len „zábezpeka“). Zábezpeku je zhotoviteľ povinný doručiť objednávateľovi najneskôr ku dňu </w:t>
      </w:r>
      <w:r w:rsidR="00624C36" w:rsidRPr="001E3CAA">
        <w:rPr>
          <w:rFonts w:eastAsia="Times New Roman" w:cstheme="minorHAnsi"/>
          <w:sz w:val="20"/>
          <w:szCs w:val="20"/>
          <w:lang w:eastAsia="zh-CN"/>
        </w:rPr>
        <w:t>prevzatia staveniska</w:t>
      </w:r>
      <w:r w:rsidRPr="001E3CAA">
        <w:rPr>
          <w:rFonts w:eastAsia="Times New Roman" w:cstheme="minorHAnsi"/>
          <w:sz w:val="20"/>
          <w:szCs w:val="20"/>
          <w:lang w:eastAsia="zh-CN"/>
        </w:rPr>
        <w:t xml:space="preserve">. Objednávateľ je oprávnený uspokojiť si zo zábezpeky svoje nároky z vád diela, nároky na zaplatenie zmluvnej pokuty, náhradu škody, náklady vzniknuté v dôsledku odstúpenia od zmluvy a iné nároky, ktoré nebudú zhotoviteľom riadne a včas uspokojené. Zábezpeka bude mať formu bankovej záruky </w:t>
      </w:r>
      <w:r w:rsidRPr="001E3CAA">
        <w:rPr>
          <w:rFonts w:eastAsia="Times New Roman" w:cstheme="minorHAnsi"/>
          <w:b/>
          <w:sz w:val="20"/>
          <w:szCs w:val="20"/>
          <w:lang w:eastAsia="zh-CN"/>
        </w:rPr>
        <w:t>vo výške 10 % z ceny diela bez DPH</w:t>
      </w:r>
      <w:r w:rsidRPr="001E3CAA">
        <w:rPr>
          <w:rFonts w:eastAsia="Times New Roman" w:cstheme="minorHAnsi"/>
          <w:sz w:val="20"/>
          <w:szCs w:val="20"/>
          <w:lang w:eastAsia="zh-CN"/>
        </w:rPr>
        <w:t xml:space="preserve"> s platnosťou počas celej doby zhotovovania diel</w:t>
      </w:r>
      <w:r w:rsidR="004D73FC" w:rsidRPr="001E3CAA">
        <w:rPr>
          <w:rFonts w:eastAsia="Times New Roman" w:cstheme="minorHAnsi"/>
          <w:sz w:val="20"/>
          <w:szCs w:val="20"/>
          <w:lang w:eastAsia="zh-CN"/>
        </w:rPr>
        <w:t>a</w:t>
      </w:r>
      <w:r w:rsidRPr="001E3CAA">
        <w:rPr>
          <w:rFonts w:eastAsia="Times New Roman" w:cstheme="minorHAnsi"/>
          <w:sz w:val="20"/>
          <w:szCs w:val="20"/>
          <w:lang w:eastAsia="zh-CN"/>
        </w:rPr>
        <w:t xml:space="preserve">. Banková záruka musí byť platná a vymáhateľná po celú dobu vykonania diela, </w:t>
      </w:r>
      <w:proofErr w:type="spellStart"/>
      <w:r w:rsidRPr="001E3CAA">
        <w:rPr>
          <w:rFonts w:eastAsia="Times New Roman" w:cstheme="minorHAnsi"/>
          <w:sz w:val="20"/>
          <w:szCs w:val="20"/>
          <w:lang w:eastAsia="zh-CN"/>
        </w:rPr>
        <w:t>t.j</w:t>
      </w:r>
      <w:proofErr w:type="spellEnd"/>
      <w:r w:rsidRPr="001E3CAA">
        <w:rPr>
          <w:rFonts w:eastAsia="Times New Roman" w:cstheme="minorHAnsi"/>
          <w:sz w:val="20"/>
          <w:szCs w:val="20"/>
          <w:lang w:eastAsia="zh-CN"/>
        </w:rPr>
        <w:t>. až pokým zhotoviteľ riadne a včas nevyhotoví a neukončí a objednávateľ takto dokončené dielo bez vád a nedorobkov neprevezme v súlade s podmienkami tejto zmluvy.</w:t>
      </w:r>
    </w:p>
    <w:p w:rsidR="00AA215D" w:rsidRPr="001E3CAA" w:rsidRDefault="00AA215D" w:rsidP="002871D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E3CAA">
        <w:rPr>
          <w:rFonts w:eastAsia="Times New Roman" w:cstheme="minorHAnsi"/>
          <w:sz w:val="20"/>
          <w:szCs w:val="20"/>
          <w:lang w:eastAsia="zh-CN"/>
        </w:rPr>
        <w:t xml:space="preserve"> Banková záruka sa bude riadiť ustanoveniami § 313 a </w:t>
      </w:r>
      <w:proofErr w:type="spellStart"/>
      <w:r w:rsidRPr="001E3CAA">
        <w:rPr>
          <w:rFonts w:eastAsia="Times New Roman" w:cstheme="minorHAnsi"/>
          <w:sz w:val="20"/>
          <w:szCs w:val="20"/>
          <w:lang w:eastAsia="zh-CN"/>
        </w:rPr>
        <w:t>nasl</w:t>
      </w:r>
      <w:proofErr w:type="spellEnd"/>
      <w:r w:rsidRPr="001E3CAA">
        <w:rPr>
          <w:rFonts w:eastAsia="Times New Roman" w:cstheme="minorHAnsi"/>
          <w:sz w:val="20"/>
          <w:szCs w:val="20"/>
          <w:lang w:eastAsia="zh-CN"/>
        </w:rPr>
        <w:t>. Obchodného zákonníka, musí byť vydaná vo forme a s obsahom akceptovateľným pre objednávateľa ako neodvolateľná a bezpodmienečná banková záruka splatná na prvé písomné požiadanie, podľa ktorej príslušná renomovaná slovenská banka alebo pobočka zahraničnej banky na území Slovenskej republiky vyhlási, že uspokojí objednávateľa na základe písomného oznámenia objednávateľa adresovaného banke v prípade, že zhotoviteľ porušuje svoje záväzky vyplývajúce mu zo zmluvy a všeobecne záväzných právnych predpisov alebo podľa ustanovení § 306 Obchodného zákonníka bude nepochybné, že zhotoviteľ svoj záväzok nesplní, napr. pri vyhlásení konkurzu. Zhotoviteľ  je oprávnený nahradiť bankovú záruku zložením sumy predstavujúcej 10% z ceny diela bez DPH na účet objednávateľa alebo vinkulovaním na svojom účte v banke v prospech objednávateľa a to počas celej doby vykonania diela. Neposkytnutie zábezpeky tak, ako je uvedené v tomto bode sa považuje za podstatné porušenie Zmluvy a objednávateľ má právo od Zmluvy odstúpiť.</w:t>
      </w:r>
    </w:p>
    <w:p w:rsidR="00AA215D" w:rsidRPr="001E3CAA" w:rsidRDefault="00AA215D" w:rsidP="00AA215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E3CAA">
        <w:rPr>
          <w:rFonts w:eastAsia="Times New Roman" w:cstheme="minorHAnsi"/>
          <w:sz w:val="20"/>
          <w:szCs w:val="20"/>
          <w:lang w:eastAsia="zh-CN"/>
        </w:rPr>
        <w:t xml:space="preserve">Zmluvné strany sa dohodli, že vyššie uvedená zábezpeka bude zhotoviteľovi uvoľnená do 15 pracovných dní po riadnom a včasnom ukončení diela, potvrdené protokolom o odovzdaní diela podpísaný oboma zmluvnými stranami. </w:t>
      </w:r>
    </w:p>
    <w:p w:rsidR="00AA215D" w:rsidRPr="00FF3F7D" w:rsidRDefault="00AA215D" w:rsidP="00AA215D">
      <w:pPr>
        <w:widowControl w:val="0"/>
        <w:suppressAutoHyphens/>
        <w:spacing w:after="0" w:line="240" w:lineRule="auto"/>
        <w:jc w:val="both"/>
        <w:rPr>
          <w:rFonts w:eastAsia="Times New Roman" w:cstheme="minorHAnsi"/>
          <w:sz w:val="20"/>
          <w:szCs w:val="20"/>
          <w:lang w:eastAsia="zh-CN"/>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Zodpovednosť za vady a záruky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vady, ktoré predmet má v čase jeho odovzdania objednávateľovi. Za vady, ktoré sa prejavili po odovzdaní diela, zodpovedá zhotoviteľ iba vtedy, ak boli spôsobené porušením jeho povinností.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30E3">
        <w:rPr>
          <w:rFonts w:eastAsia="Times New Roman" w:cstheme="minorHAnsi"/>
          <w:b/>
          <w:sz w:val="20"/>
          <w:szCs w:val="20"/>
          <w:lang w:eastAsia="zh-CN"/>
        </w:rPr>
        <w:t xml:space="preserve">Záručná doba na stavebné práce je </w:t>
      </w:r>
      <w:r w:rsidR="00B12CBC">
        <w:rPr>
          <w:rFonts w:eastAsia="Times New Roman" w:cstheme="minorHAnsi"/>
          <w:b/>
          <w:sz w:val="20"/>
          <w:szCs w:val="20"/>
          <w:lang w:eastAsia="zh-CN"/>
        </w:rPr>
        <w:t>60 mesiacov</w:t>
      </w:r>
      <w:r w:rsidRPr="00D330E3">
        <w:rPr>
          <w:rFonts w:eastAsia="Times New Roman" w:cstheme="minorHAnsi"/>
          <w:b/>
          <w:sz w:val="20"/>
          <w:szCs w:val="20"/>
          <w:lang w:eastAsia="zh-CN"/>
        </w:rPr>
        <w:t xml:space="preserve"> </w:t>
      </w:r>
      <w:r w:rsidRPr="00FF3F7D">
        <w:rPr>
          <w:rFonts w:eastAsia="Times New Roman" w:cstheme="minorHAnsi"/>
          <w:sz w:val="20"/>
          <w:szCs w:val="20"/>
          <w:lang w:eastAsia="zh-CN"/>
        </w:rPr>
        <w:t>odo dňa  prevzatia diela objednávateľom,  na stroje a zariadenia platí záruka daná výrobcom. Presný termín ukončenia záručnej doby zmluvné strany zapíšu do protokolu z odovzdania a prevzatia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začať s odstraňovaním prípadných vád diela reklamovaných objednávateľom do 5 dní odo dňa </w:t>
      </w:r>
      <w:proofErr w:type="spellStart"/>
      <w:r w:rsidRPr="00FF3F7D">
        <w:rPr>
          <w:rFonts w:eastAsia="Times New Roman" w:cstheme="minorHAnsi"/>
          <w:sz w:val="20"/>
          <w:szCs w:val="20"/>
          <w:lang w:eastAsia="zh-CN"/>
        </w:rPr>
        <w:t>obdržania</w:t>
      </w:r>
      <w:proofErr w:type="spellEnd"/>
      <w:r w:rsidRPr="00FF3F7D">
        <w:rPr>
          <w:rFonts w:eastAsia="Times New Roman" w:cstheme="minorHAnsi"/>
          <w:sz w:val="20"/>
          <w:szCs w:val="20"/>
          <w:lang w:eastAsia="zh-CN"/>
        </w:rPr>
        <w:t xml:space="preserve"> reklamácie, ak nedôjde k obojstranne podpísanej dohode o inom termíne.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Objednávateľ je povinný umožniť zhotoviteľovi prístup do priestorov, kde sa majú záručné vady odstraňovať.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nesplní svoju povinnosť odstrániť vady riadne a včas, je Objednávateľ oprávnený zabezpečiť odstránenie vady treťou osobou na náklady zhotoviteľa.</w:t>
      </w:r>
    </w:p>
    <w:p w:rsidR="00EB3BAD" w:rsidRPr="00FF3F7D" w:rsidRDefault="00EB3BAD" w:rsidP="00EB3BAD">
      <w:pPr>
        <w:widowControl w:val="0"/>
        <w:suppressAutoHyphens/>
        <w:spacing w:before="120" w:after="0" w:line="240" w:lineRule="auto"/>
        <w:jc w:val="both"/>
        <w:rPr>
          <w:rFonts w:eastAsia="Calibri" w:cstheme="minorHAnsi"/>
          <w:color w:val="000000"/>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Zmluvné pokuty a sankcie</w:t>
      </w:r>
    </w:p>
    <w:p w:rsidR="00EB3BAD" w:rsidRPr="00FF3F7D" w:rsidRDefault="00EB3BAD" w:rsidP="00EB3BAD">
      <w:pPr>
        <w:widowControl w:val="0"/>
        <w:numPr>
          <w:ilvl w:val="0"/>
          <w:numId w:val="2"/>
        </w:numPr>
        <w:suppressAutoHyphens/>
        <w:spacing w:after="0" w:line="240" w:lineRule="auto"/>
        <w:jc w:val="both"/>
        <w:rPr>
          <w:rFonts w:eastAsia="Calibri" w:cstheme="minorHAnsi"/>
          <w:vanish/>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neodovzdá dielo v termíne dohodnutom v tejto Zmluve, objednávateľ má právo na zmluvnú pokutu vo výške 0,2 % z ceny diela za každý deň omeškania.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je objednávateľ v omeškaní s úhradou faktúry, zhotoviteľ má právo na úroky z omeškania v zmysle § 369 Obchodného zákonníka v znení neskorších predpisov vo výške 0,05% za každý deň omeškania.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5% z ceny diela za každé porušenie ktorejkoľvek z vyššie uvedených povinností a to aj opakovane.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z dôvodu na svojej strane nevybuduje časť stavby, zmluvná pokuta je stanovená v hodnote nedodanej časti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Zaplatením zmluvnej pokuty/zmluvných pokút v zmysle Zmluvy sa Zhotoviteľ nezbavuje povinnosti Dielo vykonať.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Právo na náhradu škody nie je vznikom alebo uplatnením nároku na zmluvnú pokuty podľa tohto článku dotknuté.</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Odstúpenie od zmluvy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Od zmluvy možno odstúpiť v prípadoch, ktoré stanovuje Zmluva a § 344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môže byť obmedzené na určitú časť zmluvných prác a dodávok.</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je oprávnený odstúpiť' od tejto zmluvy úplne alebo čiastočne ak napriek prepracovaniu alebo  nápravným opatreniam zhotoviteľa sú práce alebo ich časti </w:t>
      </w:r>
      <w:proofErr w:type="spellStart"/>
      <w:r w:rsidRPr="00FF3F7D">
        <w:rPr>
          <w:rFonts w:eastAsia="Times New Roman" w:cstheme="minorHAnsi"/>
          <w:sz w:val="20"/>
          <w:szCs w:val="20"/>
          <w:lang w:eastAsia="zh-CN"/>
        </w:rPr>
        <w:t>vadné</w:t>
      </w:r>
      <w:proofErr w:type="spellEnd"/>
      <w:r w:rsidRPr="00FF3F7D">
        <w:rPr>
          <w:rFonts w:eastAsia="Times New Roman" w:cstheme="minorHAnsi"/>
          <w:sz w:val="20"/>
          <w:szCs w:val="20"/>
          <w:lang w:eastAsia="zh-CN"/>
        </w:rPr>
        <w:t xml:space="preserve"> v takom rozsahu, že ďalšie plnenie Zmluvy nie je pre objednávateľa prijateľné.</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musí byť druhej zmluvnej strane doručené písomne.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oprávnený odstúpiť od zmluvy v prípade podstatného porušenia Zmluvy zo strany zhotoviteľa, za čo sa považujú najmä tieto skutočnosti:</w:t>
      </w:r>
    </w:p>
    <w:p w:rsidR="00EB3BAD" w:rsidRPr="0043376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43376D">
        <w:rPr>
          <w:rFonts w:eastAsia="Calibri" w:cstheme="minorHAnsi"/>
          <w:sz w:val="20"/>
          <w:szCs w:val="20"/>
          <w:lang w:eastAsia="cs-CZ"/>
        </w:rPr>
        <w:t xml:space="preserve">ak zhotoviteľ </w:t>
      </w:r>
      <w:r w:rsidR="00D330E3" w:rsidRPr="0043376D">
        <w:rPr>
          <w:rFonts w:eastAsia="Calibri" w:cstheme="minorHAnsi"/>
          <w:sz w:val="20"/>
          <w:szCs w:val="20"/>
          <w:lang w:eastAsia="cs-CZ"/>
        </w:rPr>
        <w:t xml:space="preserve">ku dňu prevzatia staveniska </w:t>
      </w:r>
      <w:r w:rsidRPr="0043376D">
        <w:rPr>
          <w:rFonts w:eastAsia="Calibri" w:cstheme="minorHAnsi"/>
          <w:sz w:val="20"/>
          <w:szCs w:val="20"/>
          <w:lang w:eastAsia="cs-CZ"/>
        </w:rPr>
        <w:t>nepreukáže objednávateľovi, že má uzatvoren</w:t>
      </w:r>
      <w:r w:rsidR="00D330E3" w:rsidRPr="0043376D">
        <w:rPr>
          <w:rFonts w:eastAsia="Calibri" w:cstheme="minorHAnsi"/>
          <w:sz w:val="20"/>
          <w:szCs w:val="20"/>
          <w:lang w:eastAsia="cs-CZ"/>
        </w:rPr>
        <w:t xml:space="preserve">ú </w:t>
      </w:r>
      <w:r w:rsidRPr="0043376D">
        <w:rPr>
          <w:rFonts w:eastAsia="Calibri" w:cstheme="minorHAnsi"/>
          <w:sz w:val="20"/>
          <w:szCs w:val="20"/>
          <w:lang w:eastAsia="cs-CZ"/>
        </w:rPr>
        <w:t>poistn</w:t>
      </w:r>
      <w:r w:rsidR="00D330E3" w:rsidRPr="0043376D">
        <w:rPr>
          <w:rFonts w:eastAsia="Calibri" w:cstheme="minorHAnsi"/>
          <w:sz w:val="20"/>
          <w:szCs w:val="20"/>
          <w:lang w:eastAsia="cs-CZ"/>
        </w:rPr>
        <w:t>ú</w:t>
      </w:r>
      <w:r w:rsidRPr="0043376D">
        <w:rPr>
          <w:rFonts w:eastAsia="Calibri" w:cstheme="minorHAnsi"/>
          <w:sz w:val="20"/>
          <w:szCs w:val="20"/>
          <w:lang w:eastAsia="cs-CZ"/>
        </w:rPr>
        <w:t xml:space="preserve"> zmluv</w:t>
      </w:r>
      <w:r w:rsidR="00D330E3" w:rsidRPr="0043376D">
        <w:rPr>
          <w:rFonts w:eastAsia="Calibri" w:cstheme="minorHAnsi"/>
          <w:sz w:val="20"/>
          <w:szCs w:val="20"/>
          <w:lang w:eastAsia="cs-CZ"/>
        </w:rPr>
        <w:t>u</w:t>
      </w:r>
      <w:r w:rsidRPr="0043376D">
        <w:rPr>
          <w:rFonts w:eastAsia="Calibri" w:cstheme="minorHAnsi"/>
          <w:sz w:val="20"/>
          <w:szCs w:val="20"/>
          <w:lang w:eastAsia="cs-CZ"/>
        </w:rPr>
        <w:t xml:space="preserve"> podľa bodu 7.2 tejto Zmluvy,</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v rozpore s ustanoveniami Zmluvy zastavil realizáciu diela alebo inak prejavil svoj úmysel nepokračovať v plnení záväzkov vyplývajúcich z tejto Zmluvy,</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porušenie ktorejkoľvek z povinností týkajúcej sa subdodávateľov alebo ich zmeny (napr. neoznámenie zmeny subdodávateľa alebo využitie subdodávateľa, ktorý nespĺňa podmienky podľa § 32 ods. 1 </w:t>
      </w:r>
      <w:proofErr w:type="spellStart"/>
      <w:r w:rsidRPr="00FF3F7D">
        <w:rPr>
          <w:rFonts w:eastAsia="Calibri" w:cstheme="minorHAnsi"/>
          <w:sz w:val="20"/>
          <w:szCs w:val="20"/>
          <w:lang w:eastAsia="cs-CZ"/>
        </w:rPr>
        <w:t>písm</w:t>
      </w:r>
      <w:proofErr w:type="spellEnd"/>
      <w:r w:rsidRPr="00FF3F7D">
        <w:rPr>
          <w:rFonts w:eastAsia="Calibri" w:cstheme="minorHAnsi"/>
          <w:sz w:val="20"/>
          <w:szCs w:val="20"/>
          <w:lang w:eastAsia="cs-CZ"/>
        </w:rPr>
        <w:t xml:space="preserve"> e)  zákona č. 343/2015 zákona o verejnom obstarávaní.</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lastRenderedPageBreak/>
        <w:t xml:space="preserve">ak je zhotoviteľ v neodôvodnenom meškaní s vecným a časovým harmonogramom realizácie diela podľa </w:t>
      </w:r>
      <w:proofErr w:type="spellStart"/>
      <w:r w:rsidRPr="00FF3F7D">
        <w:rPr>
          <w:rFonts w:eastAsia="Calibri" w:cstheme="minorHAnsi"/>
          <w:sz w:val="20"/>
          <w:szCs w:val="20"/>
          <w:lang w:eastAsia="cs-CZ"/>
        </w:rPr>
        <w:t>príl</w:t>
      </w:r>
      <w:proofErr w:type="spellEnd"/>
      <w:r w:rsidRPr="00FF3F7D">
        <w:rPr>
          <w:rFonts w:eastAsia="Calibri" w:cstheme="minorHAnsi"/>
          <w:sz w:val="20"/>
          <w:szCs w:val="20"/>
          <w:lang w:eastAsia="cs-CZ"/>
        </w:rPr>
        <w:t>. č. 1 tejto zmluvy</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Objednávateľ je oprávnený bez akýchkoľvek sankcií odstúpiť od zmluvy v prípade, kedy ešte nedošlo k plneniu zo zmluvy a výsledky administratívnej kontroly poskytovateľa nenávratného finančného príspevku neumožňujú financovanie výdavkov vzniknutých z obstarávania stavebných prác, tejto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môže odstúpiť od zmluvy aj v prípadoch uvedených v </w:t>
      </w:r>
      <w:proofErr w:type="spellStart"/>
      <w:r w:rsidRPr="00FF3F7D">
        <w:rPr>
          <w:rFonts w:eastAsia="Times New Roman" w:cstheme="minorHAnsi"/>
          <w:sz w:val="20"/>
          <w:szCs w:val="20"/>
          <w:lang w:eastAsia="zh-CN"/>
        </w:rPr>
        <w:t>ust</w:t>
      </w:r>
      <w:proofErr w:type="spellEnd"/>
      <w:r w:rsidRPr="00FF3F7D">
        <w:rPr>
          <w:rFonts w:eastAsia="Times New Roman" w:cstheme="minorHAnsi"/>
          <w:sz w:val="20"/>
          <w:szCs w:val="20"/>
          <w:lang w:eastAsia="zh-CN"/>
        </w:rPr>
        <w:t xml:space="preserve">. § 19 zákona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Článok XIII. </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Náhrada škody, právne vzťahy a dôsledky neplnenia zmluvy, vyššia moc</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Každá zo zmluvných strán má nárok na náhradu škody, vzniknutej v dôsledku porušenia záväzku druhou zmluvnou stranou, a to v zmysle § 373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 Jej výška bude vzájomne prerokovaná.</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výskytu vyššej moci (živelné pohromy, zemetrasenie, vojna) nie je neplnenie predmetu zmluvy sankcionované a po dobu trvania vyššej moci neplynie doba výstavby.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nie je oprávnený postúpiť pohľadávky zo Zmluvy v zmysle § 524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XIV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Osobitné </w:t>
      </w:r>
      <w:r w:rsidRPr="0043376D">
        <w:rPr>
          <w:rFonts w:eastAsia="Calibri" w:cstheme="minorHAnsi"/>
          <w:b/>
          <w:sz w:val="20"/>
          <w:szCs w:val="20"/>
          <w:lang w:eastAsia="cs-CZ"/>
        </w:rPr>
        <w:t>ustanovenia</w:t>
      </w:r>
      <w:r w:rsidR="00692107" w:rsidRPr="0043376D">
        <w:rPr>
          <w:rFonts w:eastAsia="Calibri" w:cstheme="minorHAnsi"/>
          <w:b/>
          <w:sz w:val="20"/>
          <w:szCs w:val="20"/>
          <w:lang w:eastAsia="cs-CZ"/>
        </w:rPr>
        <w:t>, sociálny aspekt</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360"/>
        <w:jc w:val="both"/>
        <w:rPr>
          <w:rFonts w:eastAsia="Times New Roman" w:cstheme="minorHAnsi"/>
          <w:sz w:val="20"/>
          <w:szCs w:val="20"/>
          <w:lang w:eastAsia="zh-CN"/>
        </w:rPr>
      </w:pPr>
      <w:r w:rsidRPr="00FF3F7D">
        <w:rPr>
          <w:rFonts w:eastAsia="Times New Roman" w:cstheme="minorHAnsi"/>
          <w:sz w:val="20"/>
          <w:szCs w:val="20"/>
          <w:lang w:eastAsia="zh-CN"/>
        </w:rPr>
        <w:t xml:space="preserve">Dielo je majetkom objednávateľa, a to už počas vykonávania diela zhotoviteľom.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w:t>
      </w:r>
      <w:r w:rsidRPr="00FF3F7D">
        <w:rPr>
          <w:rFonts w:eastAsia="Times New Roman" w:cstheme="minorHAnsi"/>
          <w:sz w:val="20"/>
          <w:szCs w:val="20"/>
          <w:lang w:eastAsia="zh-CN"/>
        </w:rPr>
        <w:lastRenderedPageBreak/>
        <w:t xml:space="preserve">mravmi s následkami jeho absolútnej neplatnosti (§39 Občiansky zákonník v spojení s §1 ods. 2 a §261 ods. 6 Obchodného zákonníka).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w:t>
      </w:r>
      <w:r w:rsidRPr="0043376D">
        <w:rPr>
          <w:rFonts w:eastAsia="Times New Roman" w:cstheme="minorHAnsi"/>
          <w:sz w:val="20"/>
          <w:szCs w:val="20"/>
          <w:lang w:eastAsia="zh-CN"/>
        </w:rPr>
        <w:t>podmienok a povinností.</w:t>
      </w:r>
    </w:p>
    <w:p w:rsidR="00EB3BAD" w:rsidRPr="0043376D" w:rsidRDefault="00A85DDA"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01600">
        <w:rPr>
          <w:rFonts w:eastAsia="Times New Roman" w:cstheme="minorHAnsi"/>
          <w:sz w:val="20"/>
          <w:szCs w:val="20"/>
          <w:lang w:eastAsia="zh-CN"/>
        </w:rPr>
        <w:t xml:space="preserve">Zhotoviteľ sa zaväzuje </w:t>
      </w:r>
      <w:r w:rsidRPr="00D70E48">
        <w:rPr>
          <w:rFonts w:eastAsia="Times New Roman" w:cstheme="minorHAnsi"/>
          <w:sz w:val="20"/>
          <w:szCs w:val="20"/>
          <w:lang w:eastAsia="zh-CN"/>
        </w:rPr>
        <w:t>že strpí výkon kontroly/auditu súvisiaceho s dodaním predmetu zákazky kedykoľvek počas platnosti a účinnosti príslušnej Zmluvy o poskytnutí nenávratného finančného príspevku uzavretej verejným obstarávateľom ako prijímateľom nenávratného finančného príspevku za účelom financovania predmetu zákazky, a to zo strany oprávnených osôb na výkon kontroly/auditu v zmysle príslušných právnych predpisov SR a EÚ, najmä Zákon o príspevku z EŠIF – zákon č. 292/2014 o príspevku poskytovanom z európskych štrukturálnych a investičných fondov a o zmene a doplnení niektorých zákonov. Zákon o finančnej kontrole a audite –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Porušenie tejto povinnosti uchádzača ako dodávateľa je podstatným porušením zmluvy, ktoré oprávňuje verejného obstarávateľa (objednávateľa) od zmluvy odstúpiť</w:t>
      </w:r>
      <w:r w:rsidRPr="00001600">
        <w:rPr>
          <w:rFonts w:eastAsia="Times New Roman" w:cstheme="minorHAnsi"/>
          <w:sz w:val="20"/>
          <w:szCs w:val="20"/>
          <w:lang w:eastAsia="zh-CN"/>
        </w:rPr>
        <w:t xml:space="preserve">. </w:t>
      </w:r>
      <w:r w:rsidRPr="00D70E48">
        <w:rPr>
          <w:rFonts w:eastAsia="Times New Roman" w:cstheme="minorHAnsi"/>
          <w:sz w:val="20"/>
          <w:szCs w:val="20"/>
          <w:lang w:eastAsia="zh-CN"/>
        </w:rPr>
        <w:t>Oprávnené osoby na výkon kontroly/auditu sú najmä</w:t>
      </w:r>
      <w:r>
        <w:rPr>
          <w:rFonts w:eastAsia="Times New Roman" w:cstheme="minorHAnsi"/>
          <w:sz w:val="20"/>
          <w:szCs w:val="20"/>
          <w:lang w:eastAsia="zh-CN"/>
        </w:rPr>
        <w:t xml:space="preserve">: </w:t>
      </w:r>
      <w:r w:rsidR="00EB3BAD" w:rsidRPr="0043376D">
        <w:rPr>
          <w:rFonts w:eastAsia="Times New Roman" w:cstheme="minorHAnsi"/>
          <w:sz w:val="20"/>
          <w:szCs w:val="20"/>
          <w:lang w:eastAsia="zh-CN"/>
        </w:rPr>
        <w:t xml:space="preserve">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Poskytovateľ a ním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Útvar vnútorného auditu Riadiaceho orgánu alebo Sprostredkovateľského orgánu a nimi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Najvyšší kontrolný úrad SR, Úrad vládneho auditu, Certifikačný orgán a nimi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auditu, jeho spolupracujúce orgány a osoby poverené na výkon kontroly/auditu,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Splnomocnení zástupcovia Európskej Komisie a Európskeho dvora audítorov,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zabezpečujúci ochranu finančných záujmov EÚ, </w:t>
      </w:r>
    </w:p>
    <w:p w:rsidR="00EB3BA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Osoby prizvané orgánmi uvedenými v písm. a) až f) v súlade s príslušnými právnymi predpismi SR a právnymi aktmi EÚ.</w:t>
      </w:r>
    </w:p>
    <w:p w:rsidR="00692107" w:rsidRPr="00BB3FCB" w:rsidRDefault="00692107" w:rsidP="00692107">
      <w:pPr>
        <w:widowControl w:val="0"/>
        <w:suppressAutoHyphens/>
        <w:spacing w:after="0" w:line="240" w:lineRule="auto"/>
        <w:jc w:val="both"/>
        <w:rPr>
          <w:rFonts w:ascii="Calibri" w:eastAsia="Times New Roman" w:hAnsi="Calibri" w:cs="Arial"/>
          <w:strike/>
          <w:sz w:val="20"/>
          <w:szCs w:val="20"/>
          <w:lang w:eastAsia="zh-CN"/>
        </w:rPr>
      </w:pPr>
    </w:p>
    <w:p w:rsidR="00EB3BAD" w:rsidRPr="00FF3F7D" w:rsidRDefault="00EB3BAD" w:rsidP="00EB3BAD">
      <w:pPr>
        <w:spacing w:after="0" w:line="240" w:lineRule="auto"/>
        <w:ind w:left="709" w:right="54"/>
        <w:jc w:val="both"/>
        <w:rPr>
          <w:rFonts w:eastAsia="Times New Roman" w:cstheme="minorHAnsi"/>
          <w:bCs/>
          <w:spacing w:val="-1"/>
          <w:sz w:val="20"/>
          <w:szCs w:val="20"/>
          <w:lang w:eastAsia="sk-SK"/>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 Spoločné a záverečné ustanovenia</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Táto zmluva sa vyhotovuje v piatich rovnopisoch, z ktorých objednávateľ </w:t>
      </w:r>
      <w:proofErr w:type="spellStart"/>
      <w:r w:rsidRPr="00FF3F7D">
        <w:rPr>
          <w:rFonts w:eastAsia="Times New Roman" w:cstheme="minorHAnsi"/>
          <w:sz w:val="20"/>
          <w:szCs w:val="20"/>
          <w:lang w:eastAsia="zh-CN"/>
        </w:rPr>
        <w:t>obdrží</w:t>
      </w:r>
      <w:proofErr w:type="spellEnd"/>
      <w:r w:rsidRPr="00FF3F7D">
        <w:rPr>
          <w:rFonts w:eastAsia="Times New Roman" w:cstheme="minorHAnsi"/>
          <w:sz w:val="20"/>
          <w:szCs w:val="20"/>
          <w:lang w:eastAsia="zh-CN"/>
        </w:rPr>
        <w:t xml:space="preserve"> tri vyhotovenia a zhotoviteľ dve vyhotovenia.</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Zmluva podlieha zverejneniu v zmysle zákona č.211/2000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xml:space="preserve">. o slobodnom prístupe k informáciám </w:t>
      </w:r>
      <w:r w:rsidRPr="0043376D">
        <w:rPr>
          <w:rFonts w:eastAsia="Times New Roman" w:cstheme="minorHAnsi"/>
          <w:sz w:val="20"/>
          <w:szCs w:val="20"/>
          <w:lang w:eastAsia="zh-CN"/>
        </w:rPr>
        <w:t>v platnom znení.</w:t>
      </w:r>
    </w:p>
    <w:p w:rsidR="0098642F" w:rsidRDefault="0098642F"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043A9">
        <w:rPr>
          <w:rFonts w:eastAsia="Times New Roman" w:cstheme="minorHAnsi"/>
          <w:sz w:val="20"/>
          <w:szCs w:val="20"/>
          <w:lang w:eastAsia="zh-CN"/>
        </w:rPr>
        <w:t xml:space="preserve">Zmluva nadobúda platnosť dňom jej podpisu obidvomi Zmluvnými stranami a účinnosť v deň nadobudnutia účinnosti Zmluvy o nenávratnom finančnom príspevku s Poskytovateľom NFP pre projekt uvedený v bode </w:t>
      </w:r>
      <w:r w:rsidR="00B12CBC">
        <w:rPr>
          <w:rFonts w:eastAsia="Times New Roman" w:cstheme="minorHAnsi"/>
          <w:sz w:val="20"/>
          <w:szCs w:val="20"/>
          <w:lang w:eastAsia="zh-CN"/>
        </w:rPr>
        <w:t>2</w:t>
      </w:r>
      <w:r w:rsidRPr="001043A9">
        <w:rPr>
          <w:rFonts w:eastAsia="Times New Roman" w:cstheme="minorHAnsi"/>
          <w:sz w:val="20"/>
          <w:szCs w:val="20"/>
          <w:lang w:eastAsia="zh-CN"/>
        </w:rPr>
        <w:t>.3. tejto Zmluvy (ďalej ako „Zmluva o NFP“)</w:t>
      </w:r>
      <w:r>
        <w:rPr>
          <w:rFonts w:eastAsia="Times New Roman" w:cstheme="minorHAnsi"/>
          <w:sz w:val="20"/>
          <w:szCs w:val="20"/>
          <w:lang w:eastAsia="zh-CN"/>
        </w:rPr>
        <w:t>.</w:t>
      </w:r>
    </w:p>
    <w:p w:rsidR="0098642F" w:rsidRPr="001043A9" w:rsidRDefault="0098642F" w:rsidP="0098642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043A9">
        <w:rPr>
          <w:rFonts w:eastAsia="Times New Roman" w:cstheme="minorHAnsi"/>
          <w:sz w:val="20"/>
          <w:szCs w:val="20"/>
          <w:lang w:eastAsia="zh-CN"/>
        </w:rPr>
        <w:t>Nadobudnutie účinnosti tejto Zmluvy sa zaväzuje Objednávateľ oznámiť Zhotoviteľovi bez zbytočného odkladu, najneskôr však do dvoch pracovných dní.</w:t>
      </w:r>
    </w:p>
    <w:p w:rsidR="00EB3BAD" w:rsidRPr="0098642F" w:rsidRDefault="00EB3BAD" w:rsidP="00DF0108">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98642F">
        <w:rPr>
          <w:rFonts w:eastAsia="Times New Roman" w:cstheme="minorHAnsi"/>
          <w:sz w:val="20"/>
          <w:szCs w:val="20"/>
          <w:lang w:eastAsia="zh-CN"/>
        </w:rPr>
        <w:t xml:space="preserve"> Zmena zmluvy je možná len v súlade s </w:t>
      </w:r>
      <w:proofErr w:type="spellStart"/>
      <w:r w:rsidRPr="0098642F">
        <w:rPr>
          <w:rFonts w:eastAsia="Times New Roman" w:cstheme="minorHAnsi"/>
          <w:sz w:val="20"/>
          <w:szCs w:val="20"/>
          <w:lang w:eastAsia="zh-CN"/>
        </w:rPr>
        <w:t>ust</w:t>
      </w:r>
      <w:proofErr w:type="spellEnd"/>
      <w:r w:rsidRPr="0098642F">
        <w:rPr>
          <w:rFonts w:eastAsia="Times New Roman" w:cstheme="minorHAnsi"/>
          <w:sz w:val="20"/>
          <w:szCs w:val="20"/>
          <w:lang w:eastAsia="zh-CN"/>
        </w:rPr>
        <w:t xml:space="preserve">. §18 zákona 343/2015 Z. z. o verejnom obstarávaní a o zmene </w:t>
      </w:r>
      <w:r w:rsidRPr="0098642F">
        <w:rPr>
          <w:rFonts w:eastAsia="Times New Roman" w:cstheme="minorHAnsi"/>
          <w:sz w:val="20"/>
          <w:szCs w:val="20"/>
          <w:lang w:eastAsia="zh-CN"/>
        </w:rPr>
        <w:lastRenderedPageBreak/>
        <w:t>a doplnení niektorých zákonov v znení neskorších predpisov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rsidR="0098642F" w:rsidRPr="00B448A7" w:rsidRDefault="0098642F" w:rsidP="0098642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C00FE9">
        <w:rPr>
          <w:rFonts w:eastAsia="Times New Roman" w:cstheme="minorHAnsi"/>
          <w:sz w:val="20"/>
          <w:szCs w:val="20"/>
          <w:lang w:eastAsia="zh-CN"/>
        </w:rPr>
        <w:t xml:space="preserve">Zmluvné strany sa pri plnení tejto Zmluvy zaväzujú striktne dodržiavať platné právne predpisy zakazujúce podplácanie verejných činiteľov a súkromných osôb, protiprávne ovplyvňovanie verejných činiteľov, pranie špinavých peňazí a zaväzujú sa zaviesť a vykonávať všetky nevyhnutné a vhodné </w:t>
      </w:r>
      <w:r w:rsidRPr="00B448A7">
        <w:rPr>
          <w:rFonts w:eastAsia="Times New Roman" w:cstheme="minorHAnsi"/>
          <w:sz w:val="20"/>
          <w:szCs w:val="20"/>
          <w:lang w:eastAsia="zh-CN"/>
        </w:rPr>
        <w:t>postupy a opatrenia vedúce k zabráneniu korupcie.</w:t>
      </w:r>
    </w:p>
    <w:p w:rsidR="0098642F" w:rsidRPr="00B448A7" w:rsidRDefault="0098642F" w:rsidP="0098642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 xml:space="preserve">Zhotoviteľ’ vyhlasuje, že podľa jeho vedomostí žiaden z jeho predstaviteľov, zástupcov, zamestnancov, alebo iných osôb konajúcich v mene Zhotoviteľa pri poskytovaní plnenia podľa tejto Zmluvy pre Objednávateľa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podniku alebo zamestnancovi, politickej strane či hnutiu, kandidátovi na politickú nomináciu, osobe, ktorá pôsobí </w:t>
      </w:r>
      <w:r w:rsidRPr="00B448A7">
        <w:rPr>
          <w:rFonts w:eastAsia="Times New Roman" w:cstheme="minorHAnsi"/>
          <w:sz w:val="20"/>
          <w:szCs w:val="20"/>
          <w:lang w:eastAsia="zh-CN"/>
        </w:rPr>
        <w:br/>
        <w:t>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w:t>
      </w:r>
    </w:p>
    <w:p w:rsidR="0098642F" w:rsidRPr="00B448A7" w:rsidRDefault="0098642F" w:rsidP="0098642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Zhotoviteľ’ sa zaväzuje okamžite oznámiť Objednávateľovi primeranou formou akékoľvek podozrenie na porušenie povinností podľa bodu 15.10 a 15.11 tejto Zmluvy alebo akékoľvek skutočnosti, v dôsledku ktorých by sa vyhlásenie Zhotoviteľa podľa bodu 15.11 ukázalo ako nepravdivé a byť plne súčinný pri dôkladnom vyšetrení podozrenia.</w:t>
      </w:r>
    </w:p>
    <w:p w:rsidR="0098642F" w:rsidRPr="00B448A7" w:rsidRDefault="0098642F" w:rsidP="0098642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Akékoľvek preukázané korupčné správanie Zhotoviteľa alebo porušenie povinností podľa bodu 15.10  a 15.11 tejto Zmluvy sa považuje za podstatné porušenie tejto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vyhlasujú, že si Zmluvu prečítali, Zmluvu uzavreli slobodne, vážne určito a zrozumiteľne, nie v tiesni ani za jednostranne nevýhodných podmienok, na znak čoho ju vlastnoručne podpisujú.</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Súčasťou tejto Zmluvy je</w:t>
      </w:r>
    </w:p>
    <w:p w:rsidR="00EB3BAD" w:rsidRPr="00FF3F7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 xml:space="preserve">príloha č.1 Ponukový rozpočet – ocenený výkaz výmer </w:t>
      </w:r>
      <w:r w:rsidRPr="00FF3F7D">
        <w:rPr>
          <w:rFonts w:ascii="Calibri" w:eastAsia="Times New Roman" w:hAnsi="Calibri" w:cs="Times New Roman"/>
          <w:sz w:val="20"/>
          <w:szCs w:val="20"/>
          <w:lang w:eastAsia="zh-CN"/>
        </w:rPr>
        <w:t>pre stavbu vrátane rekapitulácie nákladov a krycieho listu</w:t>
      </w:r>
    </w:p>
    <w:p w:rsidR="00EB3BAD" w:rsidRPr="00FF3F7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2 V</w:t>
      </w:r>
      <w:proofErr w:type="spellStart"/>
      <w:r w:rsidRPr="00FF3F7D">
        <w:rPr>
          <w:rFonts w:eastAsia="Calibri" w:cstheme="minorHAnsi"/>
          <w:sz w:val="20"/>
          <w:szCs w:val="20"/>
          <w:lang w:eastAsia="sk-SK"/>
        </w:rPr>
        <w:t>ecný</w:t>
      </w:r>
      <w:proofErr w:type="spellEnd"/>
      <w:r w:rsidRPr="00FF3F7D">
        <w:rPr>
          <w:rFonts w:eastAsia="Calibri" w:cstheme="minorHAnsi"/>
          <w:sz w:val="20"/>
          <w:szCs w:val="20"/>
          <w:lang w:eastAsia="sk-SK"/>
        </w:rPr>
        <w:t xml:space="preserve"> a časový harmonogram realizácie diela</w:t>
      </w:r>
    </w:p>
    <w:p w:rsidR="00EB3BA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3 Zoznam subdodávateľov ( ak je uplatniteľné)</w:t>
      </w:r>
    </w:p>
    <w:p w:rsidR="00A25B39" w:rsidRPr="00FF3F7D" w:rsidRDefault="00A25B39" w:rsidP="00A25B39">
      <w:pPr>
        <w:widowControl w:val="0"/>
        <w:suppressAutoHyphens/>
        <w:autoSpaceDE w:val="0"/>
        <w:autoSpaceDN w:val="0"/>
        <w:spacing w:before="120" w:after="0" w:line="240" w:lineRule="auto"/>
        <w:jc w:val="both"/>
        <w:rPr>
          <w:rFonts w:eastAsia="Times New Roman" w:cstheme="minorHAnsi"/>
          <w:noProof/>
          <w:sz w:val="20"/>
          <w:szCs w:val="20"/>
          <w:lang w:eastAsia="cs-CZ"/>
        </w:rPr>
      </w:pPr>
    </w:p>
    <w:p w:rsidR="00EB3BAD" w:rsidRPr="00FF3F7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V </w:t>
      </w:r>
      <w:r w:rsidR="006B25C3">
        <w:rPr>
          <w:rFonts w:eastAsia="Calibri" w:cstheme="minorHAnsi"/>
          <w:sz w:val="20"/>
          <w:szCs w:val="20"/>
          <w:lang w:eastAsia="cs-CZ"/>
        </w:rPr>
        <w:t>....................</w:t>
      </w:r>
      <w:r w:rsidRPr="00FF3F7D">
        <w:rPr>
          <w:rFonts w:eastAsia="Calibri" w:cstheme="minorHAnsi"/>
          <w:sz w:val="20"/>
          <w:szCs w:val="20"/>
          <w:lang w:eastAsia="cs-CZ"/>
        </w:rPr>
        <w:t>,  dňa ...................</w:t>
      </w:r>
      <w:r w:rsidRPr="00FF3F7D">
        <w:rPr>
          <w:rFonts w:eastAsia="Calibri" w:cstheme="minorHAnsi"/>
          <w:sz w:val="20"/>
          <w:szCs w:val="20"/>
          <w:lang w:eastAsia="cs-CZ"/>
        </w:rPr>
        <w:tab/>
        <w:t>V....</w:t>
      </w:r>
      <w:r w:rsidRPr="00D330E3">
        <w:rPr>
          <w:rFonts w:eastAsia="Calibri" w:cstheme="minorHAnsi"/>
          <w:sz w:val="20"/>
          <w:szCs w:val="20"/>
          <w:lang w:eastAsia="cs-CZ"/>
        </w:rPr>
        <w:t>.............................</w:t>
      </w:r>
      <w:r w:rsidRPr="00FF3F7D">
        <w:rPr>
          <w:rFonts w:eastAsia="Calibri" w:cstheme="minorHAnsi"/>
          <w:sz w:val="20"/>
          <w:szCs w:val="20"/>
          <w:lang w:eastAsia="cs-CZ"/>
        </w:rPr>
        <w:t xml:space="preserve"> , dňa ....</w:t>
      </w:r>
      <w:r w:rsidRPr="00692107">
        <w:rPr>
          <w:rFonts w:eastAsia="Calibri" w:cstheme="minorHAnsi"/>
          <w:sz w:val="20"/>
          <w:szCs w:val="20"/>
          <w:lang w:eastAsia="cs-CZ"/>
        </w:rPr>
        <w:t>..........</w:t>
      </w:r>
    </w:p>
    <w:p w:rsidR="00EB3BA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920077" w:rsidRDefault="00920077"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920077" w:rsidRPr="00FF3F7D" w:rsidRDefault="00920077"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bookmarkStart w:id="0" w:name="_GoBack"/>
      <w:bookmarkEnd w:id="0"/>
    </w:p>
    <w:p w:rsidR="00EB3BAD" w:rsidRPr="00FF3F7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 xml:space="preserve">............................................. </w:t>
      </w:r>
      <w:r w:rsidRPr="00FF3F7D">
        <w:rPr>
          <w:rFonts w:eastAsia="Calibri" w:cstheme="minorHAnsi"/>
          <w:sz w:val="20"/>
          <w:szCs w:val="20"/>
          <w:lang w:eastAsia="cs-CZ"/>
        </w:rPr>
        <w:tab/>
        <w:t xml:space="preserve"> .....</w:t>
      </w:r>
      <w:r w:rsidRPr="00D330E3">
        <w:rPr>
          <w:rFonts w:eastAsia="Calibri" w:cstheme="minorHAnsi"/>
          <w:sz w:val="20"/>
          <w:szCs w:val="20"/>
          <w:lang w:eastAsia="cs-CZ"/>
        </w:rPr>
        <w:t>.....................................</w:t>
      </w:r>
      <w:r w:rsidRPr="00FF3F7D">
        <w:rPr>
          <w:rFonts w:eastAsia="Calibri" w:cstheme="minorHAnsi"/>
          <w:sz w:val="20"/>
          <w:szCs w:val="20"/>
          <w:lang w:eastAsia="cs-CZ"/>
        </w:rPr>
        <w:t>.</w:t>
      </w:r>
    </w:p>
    <w:p w:rsidR="00EB3BAD" w:rsidRPr="00FF3F7D" w:rsidRDefault="00EB3BAD" w:rsidP="00EB3BAD">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r w:rsidRPr="00FF3F7D">
        <w:rPr>
          <w:rFonts w:eastAsia="Calibri" w:cstheme="minorHAnsi"/>
          <w:sz w:val="20"/>
          <w:szCs w:val="20"/>
          <w:lang w:eastAsia="cs-CZ"/>
        </w:rPr>
        <w:t xml:space="preserve">Za objednávateľa </w:t>
      </w:r>
      <w:r w:rsidRPr="00FF3F7D">
        <w:rPr>
          <w:rFonts w:eastAsia="Calibri" w:cstheme="minorHAnsi"/>
          <w:sz w:val="20"/>
          <w:szCs w:val="20"/>
          <w:lang w:eastAsia="cs-CZ"/>
        </w:rPr>
        <w:tab/>
        <w:t>Za zhotoviteľa</w:t>
      </w:r>
    </w:p>
    <w:p w:rsidR="00EB3BAD" w:rsidRPr="00FF3F7D" w:rsidRDefault="00EB3BAD" w:rsidP="00EB3BAD">
      <w:pPr>
        <w:widowControl w:val="0"/>
        <w:tabs>
          <w:tab w:val="center" w:pos="4536"/>
          <w:tab w:val="right" w:pos="9072"/>
        </w:tabs>
        <w:suppressAutoHyphens/>
        <w:spacing w:after="0" w:line="240" w:lineRule="auto"/>
        <w:rPr>
          <w:rFonts w:eastAsia="Times New Roman" w:cstheme="minorHAnsi"/>
          <w:b/>
          <w:bCs/>
          <w:sz w:val="20"/>
          <w:szCs w:val="20"/>
          <w:lang w:val="en-GB" w:eastAsia="zh-CN"/>
        </w:rPr>
      </w:pPr>
    </w:p>
    <w:p w:rsidR="00200D1C" w:rsidRDefault="00200D1C"/>
    <w:sectPr w:rsidR="00200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3"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1A35BF2"/>
    <w:multiLevelType w:val="hybridMultilevel"/>
    <w:tmpl w:val="4FEA3546"/>
    <w:lvl w:ilvl="0" w:tplc="041B0017">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5" w15:restartNumberingAfterBreak="0">
    <w:nsid w:val="5B4810F6"/>
    <w:multiLevelType w:val="hybridMultilevel"/>
    <w:tmpl w:val="C96833BE"/>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69CC1450"/>
    <w:multiLevelType w:val="multilevel"/>
    <w:tmpl w:val="D220C2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3"/>
  </w:num>
  <w:num w:numId="2">
    <w:abstractNumId w:val="1"/>
  </w:num>
  <w:num w:numId="3">
    <w:abstractNumId w:val="0"/>
  </w:num>
  <w:num w:numId="4">
    <w:abstractNumId w:val="2"/>
  </w:num>
  <w:num w:numId="5">
    <w:abstractNumId w:val="7"/>
  </w:num>
  <w:num w:numId="6">
    <w:abstractNumId w:val="8"/>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AD"/>
    <w:rsid w:val="001E3CAA"/>
    <w:rsid w:val="00200D1C"/>
    <w:rsid w:val="002B2EAB"/>
    <w:rsid w:val="003910AF"/>
    <w:rsid w:val="003A6C61"/>
    <w:rsid w:val="0043376D"/>
    <w:rsid w:val="00453D15"/>
    <w:rsid w:val="004D73FC"/>
    <w:rsid w:val="004E0993"/>
    <w:rsid w:val="006109A3"/>
    <w:rsid w:val="0062161B"/>
    <w:rsid w:val="00624C36"/>
    <w:rsid w:val="00626384"/>
    <w:rsid w:val="00692107"/>
    <w:rsid w:val="006B25C3"/>
    <w:rsid w:val="007C264B"/>
    <w:rsid w:val="00800FCD"/>
    <w:rsid w:val="008310BD"/>
    <w:rsid w:val="00894B97"/>
    <w:rsid w:val="00920077"/>
    <w:rsid w:val="009302EF"/>
    <w:rsid w:val="0098642F"/>
    <w:rsid w:val="009B5C7D"/>
    <w:rsid w:val="009E49C2"/>
    <w:rsid w:val="00A25B39"/>
    <w:rsid w:val="00A85DDA"/>
    <w:rsid w:val="00AA215D"/>
    <w:rsid w:val="00B01F74"/>
    <w:rsid w:val="00B12CBC"/>
    <w:rsid w:val="00BA2084"/>
    <w:rsid w:val="00BB3FCB"/>
    <w:rsid w:val="00C06F02"/>
    <w:rsid w:val="00C6684C"/>
    <w:rsid w:val="00D330E3"/>
    <w:rsid w:val="00D718D1"/>
    <w:rsid w:val="00E36ABC"/>
    <w:rsid w:val="00E40CB8"/>
    <w:rsid w:val="00EB3BAD"/>
    <w:rsid w:val="00F11D9F"/>
    <w:rsid w:val="00F526E3"/>
    <w:rsid w:val="00FF59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81AD"/>
  <w15:chartTrackingRefBased/>
  <w15:docId w15:val="{694D7742-33BB-4C2D-AE68-335A9765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BA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B3BA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RAZKY PRVA UROVEN"/>
    <w:basedOn w:val="Normlny"/>
    <w:link w:val="OdsekzoznamuChar"/>
    <w:uiPriority w:val="99"/>
    <w:qFormat/>
    <w:rsid w:val="00EB3BAD"/>
    <w:pPr>
      <w:ind w:left="720"/>
      <w:contextualSpacing/>
    </w:pPr>
  </w:style>
  <w:style w:type="character" w:styleId="Hypertextovprepojenie">
    <w:name w:val="Hyperlink"/>
    <w:basedOn w:val="Predvolenpsmoodseku"/>
    <w:uiPriority w:val="99"/>
    <w:unhideWhenUsed/>
    <w:rsid w:val="00EB3BAD"/>
    <w:rPr>
      <w:color w:val="0563C1" w:themeColor="hyperlink"/>
      <w:u w:val="single"/>
    </w:rPr>
  </w:style>
  <w:style w:type="character" w:customStyle="1" w:styleId="OdsekzoznamuChar">
    <w:name w:val="Odsek zoznamu Char"/>
    <w:aliases w:val="body Char,Odsek zoznamu2 Char,List Paragraph Char,ODRAZKY PRVA UROVEN Char"/>
    <w:link w:val="Odsekzoznamu"/>
    <w:uiPriority w:val="99"/>
    <w:qFormat/>
    <w:rsid w:val="00AA215D"/>
  </w:style>
  <w:style w:type="paragraph" w:customStyle="1" w:styleId="Default">
    <w:name w:val="Default"/>
    <w:rsid w:val="00B01F7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31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12</Pages>
  <Words>7025</Words>
  <Characters>40046</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46978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6</cp:revision>
  <dcterms:created xsi:type="dcterms:W3CDTF">2022-03-26T15:46:00Z</dcterms:created>
  <dcterms:modified xsi:type="dcterms:W3CDTF">2022-03-29T15:30:00Z</dcterms:modified>
</cp:coreProperties>
</file>