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F456" w14:textId="143B793E" w:rsidR="002C3622" w:rsidRPr="00094AC0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25C994DC" w14:textId="77777777" w:rsidR="002C3622" w:rsidRDefault="002C3622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14:paraId="41607B16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2D5ED98E" w14:textId="77777777" w:rsidR="00FC2417" w:rsidRPr="00930F80" w:rsidRDefault="00FC2417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2ACCD8E8" w14:textId="77777777" w:rsidR="0000220B" w:rsidRPr="00BB427D" w:rsidRDefault="006056F6" w:rsidP="0000220B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="00FC2417"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>a podľa § 32 a </w:t>
      </w:r>
      <w:proofErr w:type="spellStart"/>
      <w:r w:rsidR="003148C1">
        <w:rPr>
          <w:rFonts w:ascii="Arial Narrow" w:hAnsi="Arial Narrow"/>
          <w:sz w:val="22"/>
          <w:szCs w:val="22"/>
        </w:rPr>
        <w:t>nasl</w:t>
      </w:r>
      <w:proofErr w:type="spellEnd"/>
      <w:r w:rsidR="003148C1">
        <w:rPr>
          <w:rFonts w:ascii="Arial Narrow" w:hAnsi="Arial Narrow"/>
          <w:sz w:val="22"/>
          <w:szCs w:val="22"/>
        </w:rPr>
        <w:t xml:space="preserve">.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0FA9F83A" w14:textId="77777777" w:rsidR="006056F6" w:rsidRDefault="00BB427D" w:rsidP="00BB427D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6A4888A" w14:textId="77777777" w:rsidR="00FC2417" w:rsidRPr="00930F80" w:rsidRDefault="0091435F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7116C3D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163E14E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3FC72ADA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2C155AD6" w14:textId="77777777" w:rsidTr="00565125">
        <w:tc>
          <w:tcPr>
            <w:tcW w:w="4606" w:type="dxa"/>
            <w:shd w:val="clear" w:color="auto" w:fill="auto"/>
          </w:tcPr>
          <w:p w14:paraId="56C3CBE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0724D8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9DAD141" w14:textId="77777777" w:rsidTr="00565125">
        <w:tc>
          <w:tcPr>
            <w:tcW w:w="4606" w:type="dxa"/>
            <w:shd w:val="clear" w:color="auto" w:fill="auto"/>
          </w:tcPr>
          <w:p w14:paraId="4A4A83F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7B51B08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27D1E1F2" w14:textId="77777777" w:rsidTr="00565125">
        <w:tc>
          <w:tcPr>
            <w:tcW w:w="4606" w:type="dxa"/>
            <w:shd w:val="clear" w:color="auto" w:fill="auto"/>
          </w:tcPr>
          <w:p w14:paraId="0A9A922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E6302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39F9846" w14:textId="77777777" w:rsidTr="00565125">
        <w:tc>
          <w:tcPr>
            <w:tcW w:w="4606" w:type="dxa"/>
            <w:shd w:val="clear" w:color="auto" w:fill="auto"/>
          </w:tcPr>
          <w:p w14:paraId="39D5C6F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93F11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BB63674" w14:textId="77777777" w:rsidTr="00565125">
        <w:tc>
          <w:tcPr>
            <w:tcW w:w="4606" w:type="dxa"/>
            <w:shd w:val="clear" w:color="auto" w:fill="auto"/>
          </w:tcPr>
          <w:p w14:paraId="7CA193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173D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0DBA4520" w14:textId="77777777" w:rsidTr="00565125">
        <w:tc>
          <w:tcPr>
            <w:tcW w:w="4606" w:type="dxa"/>
            <w:shd w:val="clear" w:color="auto" w:fill="auto"/>
          </w:tcPr>
          <w:p w14:paraId="1853EC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6698C49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14:paraId="20FE4762" w14:textId="77777777" w:rsidTr="00565125">
        <w:tc>
          <w:tcPr>
            <w:tcW w:w="4606" w:type="dxa"/>
            <w:shd w:val="clear" w:color="auto" w:fill="auto"/>
          </w:tcPr>
          <w:p w14:paraId="3DFA8A8E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FA250B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E431DFF" w14:textId="77777777" w:rsidTr="00565125">
        <w:tc>
          <w:tcPr>
            <w:tcW w:w="4606" w:type="dxa"/>
            <w:shd w:val="clear" w:color="auto" w:fill="auto"/>
          </w:tcPr>
          <w:p w14:paraId="56052D1A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1FA0289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14:paraId="0664E7BE" w14:textId="77777777" w:rsidTr="00565125">
        <w:tc>
          <w:tcPr>
            <w:tcW w:w="4606" w:type="dxa"/>
            <w:shd w:val="clear" w:color="auto" w:fill="auto"/>
          </w:tcPr>
          <w:p w14:paraId="4FE2AF5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66E093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A69F3A2" w14:textId="77777777" w:rsidTr="00565125">
        <w:tc>
          <w:tcPr>
            <w:tcW w:w="4606" w:type="dxa"/>
            <w:shd w:val="clear" w:color="auto" w:fill="auto"/>
          </w:tcPr>
          <w:p w14:paraId="681B063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FC9590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4F92B0D" w14:textId="77777777" w:rsidTr="00565125">
        <w:tc>
          <w:tcPr>
            <w:tcW w:w="4606" w:type="dxa"/>
            <w:shd w:val="clear" w:color="auto" w:fill="auto"/>
          </w:tcPr>
          <w:p w14:paraId="6DB452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39CA67B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9FA56D9" w14:textId="77777777" w:rsidTr="00565125">
        <w:tc>
          <w:tcPr>
            <w:tcW w:w="4606" w:type="dxa"/>
            <w:shd w:val="clear" w:color="auto" w:fill="auto"/>
          </w:tcPr>
          <w:p w14:paraId="05F55037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2F1314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3E27B67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2A4FD95" w14:textId="77777777" w:rsidR="006E6235" w:rsidRPr="00930F80" w:rsidRDefault="006E6235" w:rsidP="00FC2417">
      <w:pPr>
        <w:rPr>
          <w:rFonts w:ascii="Arial Narrow" w:hAnsi="Arial Narrow"/>
          <w:sz w:val="22"/>
          <w:szCs w:val="22"/>
        </w:rPr>
      </w:pPr>
    </w:p>
    <w:p w14:paraId="0EA0E4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480FCCE6" w14:textId="77777777" w:rsidTr="00565125">
        <w:tc>
          <w:tcPr>
            <w:tcW w:w="4606" w:type="dxa"/>
            <w:shd w:val="clear" w:color="auto" w:fill="auto"/>
          </w:tcPr>
          <w:p w14:paraId="4D6990EF" w14:textId="77777777" w:rsidR="006E6235" w:rsidRDefault="006E6235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E9FA49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C33BE1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A9A8DDB" w14:textId="77777777" w:rsidTr="00565125">
        <w:tc>
          <w:tcPr>
            <w:tcW w:w="4606" w:type="dxa"/>
            <w:shd w:val="clear" w:color="auto" w:fill="auto"/>
          </w:tcPr>
          <w:p w14:paraId="21345F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5024A4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140C63E" w14:textId="77777777" w:rsidTr="00565125">
        <w:tc>
          <w:tcPr>
            <w:tcW w:w="4606" w:type="dxa"/>
            <w:shd w:val="clear" w:color="auto" w:fill="auto"/>
          </w:tcPr>
          <w:p w14:paraId="0640E22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230B29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9F4F089" w14:textId="77777777" w:rsidTr="00565125">
        <w:tc>
          <w:tcPr>
            <w:tcW w:w="4606" w:type="dxa"/>
            <w:shd w:val="clear" w:color="auto" w:fill="auto"/>
          </w:tcPr>
          <w:p w14:paraId="4D01FB8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601AA9E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70B90A8" w14:textId="77777777" w:rsidTr="00565125">
        <w:tc>
          <w:tcPr>
            <w:tcW w:w="4606" w:type="dxa"/>
            <w:shd w:val="clear" w:color="auto" w:fill="auto"/>
          </w:tcPr>
          <w:p w14:paraId="44BCAE0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56C4E7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B8EEE93" w14:textId="77777777" w:rsidTr="00565125">
        <w:tc>
          <w:tcPr>
            <w:tcW w:w="4606" w:type="dxa"/>
            <w:shd w:val="clear" w:color="auto" w:fill="auto"/>
          </w:tcPr>
          <w:p w14:paraId="11B9844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15146C6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5025E1F" w14:textId="77777777" w:rsidTr="00565125">
        <w:tc>
          <w:tcPr>
            <w:tcW w:w="4606" w:type="dxa"/>
            <w:shd w:val="clear" w:color="auto" w:fill="auto"/>
          </w:tcPr>
          <w:p w14:paraId="45636A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202159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0653528" w14:textId="77777777" w:rsidTr="00565125">
        <w:tc>
          <w:tcPr>
            <w:tcW w:w="4606" w:type="dxa"/>
            <w:shd w:val="clear" w:color="auto" w:fill="auto"/>
          </w:tcPr>
          <w:p w14:paraId="76E1D4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0A336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B54A60D" w14:textId="77777777" w:rsidTr="00565125">
        <w:tc>
          <w:tcPr>
            <w:tcW w:w="4606" w:type="dxa"/>
            <w:shd w:val="clear" w:color="auto" w:fill="auto"/>
          </w:tcPr>
          <w:p w14:paraId="65B4F5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34816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A175FE6" w14:textId="77777777" w:rsidTr="00565125">
        <w:tc>
          <w:tcPr>
            <w:tcW w:w="4606" w:type="dxa"/>
            <w:shd w:val="clear" w:color="auto" w:fill="auto"/>
          </w:tcPr>
          <w:p w14:paraId="797340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558E95D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8C043FD" w14:textId="77777777" w:rsidTr="00565125">
        <w:tc>
          <w:tcPr>
            <w:tcW w:w="4606" w:type="dxa"/>
            <w:shd w:val="clear" w:color="auto" w:fill="auto"/>
          </w:tcPr>
          <w:p w14:paraId="4DC6F1F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643E654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D7FE8E" w14:textId="77777777" w:rsidTr="00565125">
        <w:tc>
          <w:tcPr>
            <w:tcW w:w="4606" w:type="dxa"/>
            <w:shd w:val="clear" w:color="auto" w:fill="auto"/>
          </w:tcPr>
          <w:p w14:paraId="12FD09A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068A6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4BF2216" w14:textId="77777777" w:rsidTr="00565125">
        <w:tc>
          <w:tcPr>
            <w:tcW w:w="4606" w:type="dxa"/>
            <w:shd w:val="clear" w:color="auto" w:fill="auto"/>
          </w:tcPr>
          <w:p w14:paraId="0E4D531F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477A955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7CDED45" w14:textId="77777777" w:rsidTr="00565125">
        <w:tc>
          <w:tcPr>
            <w:tcW w:w="4606" w:type="dxa"/>
            <w:shd w:val="clear" w:color="auto" w:fill="auto"/>
          </w:tcPr>
          <w:p w14:paraId="738B81C7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9FE9C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8A84C4" w14:textId="77777777" w:rsidTr="00565125">
        <w:tc>
          <w:tcPr>
            <w:tcW w:w="4606" w:type="dxa"/>
            <w:shd w:val="clear" w:color="auto" w:fill="auto"/>
          </w:tcPr>
          <w:p w14:paraId="4214480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F1C3E3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21E3847" w14:textId="77777777" w:rsidTr="00565125">
        <w:tc>
          <w:tcPr>
            <w:tcW w:w="4606" w:type="dxa"/>
            <w:shd w:val="clear" w:color="auto" w:fill="auto"/>
          </w:tcPr>
          <w:p w14:paraId="7214180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7EBF4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C61BBC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C6DC62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A5745C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511D5A1B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E16A415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5A1B781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5809D60F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0C65E394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3BD86E59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790E0E0A" w14:textId="77777777" w:rsidR="006E6235" w:rsidRDefault="006E6235" w:rsidP="00154C42">
      <w:pPr>
        <w:rPr>
          <w:rFonts w:ascii="Arial Narrow" w:hAnsi="Arial Narrow"/>
          <w:sz w:val="22"/>
          <w:szCs w:val="22"/>
        </w:rPr>
      </w:pPr>
    </w:p>
    <w:p w14:paraId="2B3DA14D" w14:textId="77777777" w:rsidR="00154C42" w:rsidRDefault="00154C42" w:rsidP="00154C42">
      <w:pPr>
        <w:rPr>
          <w:rFonts w:ascii="Arial Narrow" w:hAnsi="Arial Narrow"/>
          <w:sz w:val="22"/>
          <w:szCs w:val="22"/>
        </w:rPr>
      </w:pPr>
    </w:p>
    <w:p w14:paraId="7661D0A0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218D792C" w14:textId="77777777" w:rsidR="006E6235" w:rsidRPr="00930F80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4B6E47F4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60CB339B" w14:textId="77777777"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E87A496" w14:textId="77777777" w:rsidR="009B2474" w:rsidRDefault="009B2474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C2022E" w14:textId="4156A986" w:rsidR="006E6235" w:rsidRPr="00DE521C" w:rsidRDefault="009B2474" w:rsidP="00DE521C">
      <w:pPr>
        <w:pStyle w:val="CTL"/>
        <w:numPr>
          <w:ilvl w:val="1"/>
          <w:numId w:val="31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b/>
          <w:bCs/>
          <w:sz w:val="22"/>
          <w:szCs w:val="22"/>
        </w:rPr>
      </w:pPr>
      <w:r w:rsidRPr="00DE521C">
        <w:rPr>
          <w:rFonts w:ascii="Arial Narrow" w:hAnsi="Arial Narrow" w:cs="Calibri"/>
          <w:bCs/>
          <w:sz w:val="22"/>
          <w:szCs w:val="22"/>
        </w:rPr>
        <w:t>Ministerstvo vnútra Slovenskej republiky ako verejný obstarávateľ podľa § 7 ods. 1 písm. a) zákona       o verejnom obstarávaní zriadilo dynamický nákupný systém (ďalej len „DNS“) s</w:t>
      </w:r>
      <w:r w:rsidR="00DE521C" w:rsidRPr="00DE521C">
        <w:rPr>
          <w:rFonts w:ascii="Arial Narrow" w:hAnsi="Arial Narrow" w:cs="Calibri"/>
          <w:bCs/>
          <w:sz w:val="22"/>
          <w:szCs w:val="22"/>
        </w:rPr>
        <w:t> </w:t>
      </w:r>
      <w:r w:rsidRPr="00DE521C">
        <w:rPr>
          <w:rFonts w:ascii="Arial Narrow" w:hAnsi="Arial Narrow" w:cs="Calibri"/>
          <w:bCs/>
          <w:sz w:val="22"/>
          <w:szCs w:val="22"/>
        </w:rPr>
        <w:t>názvom</w:t>
      </w:r>
      <w:r w:rsidR="00DE521C" w:rsidRPr="00DE521C">
        <w:rPr>
          <w:rFonts w:ascii="Arial Narrow" w:hAnsi="Arial Narrow" w:cs="Calibri"/>
          <w:bCs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C8652A" w:rsidRPr="00EC4449">
        <w:rPr>
          <w:rFonts w:ascii="Arial Narrow" w:hAnsi="Arial Narrow" w:cs="Arial"/>
          <w:b/>
        </w:rPr>
        <w:t>Telekomunikačné zariadenia a spotrebný materiál</w:t>
      </w:r>
      <w:r w:rsidR="00C8652A">
        <w:rPr>
          <w:rFonts w:ascii="Arial Narrow" w:hAnsi="Arial Narrow" w:cs="Arial"/>
          <w:b/>
        </w:rPr>
        <w:t xml:space="preserve"> - DNS</w:t>
      </w:r>
      <w:r w:rsidR="00D705FC" w:rsidRPr="00DE521C">
        <w:rPr>
          <w:rFonts w:ascii="Arial Narrow" w:hAnsi="Arial Narrow" w:cs="Calibri"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2761BF" w:rsidRPr="00DE521C">
        <w:rPr>
          <w:rFonts w:ascii="Arial Narrow" w:hAnsi="Arial Narrow" w:cs="Calibri"/>
          <w:sz w:val="22"/>
          <w:szCs w:val="22"/>
        </w:rPr>
        <w:t xml:space="preserve"> </w:t>
      </w:r>
      <w:r w:rsidR="00DE521C">
        <w:rPr>
          <w:rFonts w:ascii="Arial Narrow" w:hAnsi="Arial Narrow" w:cs="Calibri"/>
          <w:sz w:val="22"/>
          <w:szCs w:val="22"/>
        </w:rPr>
        <w:t>.</w:t>
      </w:r>
    </w:p>
    <w:p w14:paraId="01DA89F0" w14:textId="77777777" w:rsidR="00DE521C" w:rsidRPr="00DE521C" w:rsidRDefault="00DE521C" w:rsidP="00DE521C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bCs/>
          <w:sz w:val="22"/>
          <w:szCs w:val="22"/>
        </w:rPr>
      </w:pPr>
    </w:p>
    <w:p w14:paraId="37EA6CE4" w14:textId="77777777" w:rsidR="00E1263A" w:rsidRPr="00DE521C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DE521C">
        <w:rPr>
          <w:rFonts w:ascii="Arial Narrow" w:hAnsi="Arial Narrow" w:cs="Calibri"/>
          <w:sz w:val="22"/>
          <w:szCs w:val="22"/>
        </w:rPr>
        <w:t xml:space="preserve">Verejný obstarávateľ prostredníctvom DNS v súlade s príslušnými ustanoveniami zákona o verejnom obstarávaní zrealizoval konkrétne obstarávanie na predmet zákazky </w:t>
      </w:r>
      <w:r w:rsidRPr="00DE521C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</w:t>
      </w:r>
      <w:r w:rsidRPr="00DE521C">
        <w:rPr>
          <w:rFonts w:ascii="Arial Narrow" w:hAnsi="Arial Narrow" w:cs="Calibri"/>
          <w:sz w:val="22"/>
          <w:szCs w:val="22"/>
        </w:rPr>
        <w:t xml:space="preserve">.  </w:t>
      </w:r>
    </w:p>
    <w:p w14:paraId="37604338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02FF8467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1F871AB8" w14:textId="667B4D26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Predmetom tejto zmluvy je</w:t>
      </w:r>
      <w:r w:rsidR="00ED0EB6">
        <w:rPr>
          <w:rFonts w:ascii="Arial Narrow" w:hAnsi="Arial Narrow" w:cs="Calibri"/>
          <w:sz w:val="22"/>
          <w:szCs w:val="22"/>
        </w:rPr>
        <w:t xml:space="preserve"> záväzok predávajúceho</w:t>
      </w:r>
      <w:r w:rsidRPr="00930F80">
        <w:rPr>
          <w:rFonts w:ascii="Arial Narrow" w:hAnsi="Arial Narrow" w:cs="Calibri"/>
          <w:sz w:val="22"/>
          <w:szCs w:val="22"/>
        </w:rPr>
        <w:t xml:space="preserve"> dod</w:t>
      </w:r>
      <w:r w:rsidR="00ED0EB6">
        <w:rPr>
          <w:rFonts w:ascii="Arial Narrow" w:hAnsi="Arial Narrow" w:cs="Calibri"/>
          <w:sz w:val="22"/>
          <w:szCs w:val="22"/>
        </w:rPr>
        <w:t xml:space="preserve">ať kupujúcemu </w:t>
      </w:r>
      <w:r w:rsidR="004C286C">
        <w:rPr>
          <w:rFonts w:ascii="Arial Narrow" w:hAnsi="Arial Narrow" w:cs="Calibri"/>
          <w:sz w:val="22"/>
          <w:szCs w:val="22"/>
        </w:rPr>
        <w:t>tovar,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ktorý je </w:t>
      </w:r>
      <w:r w:rsidR="004C286C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4C286C">
        <w:rPr>
          <w:rFonts w:ascii="Arial Narrow" w:hAnsi="Arial Narrow" w:cs="Calibri"/>
          <w:sz w:val="22"/>
          <w:szCs w:val="22"/>
        </w:rPr>
        <w:t xml:space="preserve">v prílohe č. 1 </w:t>
      </w:r>
      <w:r w:rsidR="00112BF0">
        <w:rPr>
          <w:rFonts w:ascii="Arial Narrow" w:hAnsi="Arial Narrow" w:cs="Calibri"/>
          <w:sz w:val="22"/>
          <w:szCs w:val="22"/>
        </w:rPr>
        <w:t xml:space="preserve">tejto </w:t>
      </w:r>
      <w:r w:rsidR="004C286C">
        <w:rPr>
          <w:rFonts w:ascii="Arial Narrow" w:hAnsi="Arial Narrow" w:cs="Calibri"/>
          <w:sz w:val="22"/>
          <w:szCs w:val="22"/>
        </w:rPr>
        <w:t xml:space="preserve">zmluvy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>ďalej len „</w:t>
      </w:r>
      <w:r w:rsidR="004C286C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="00ED0EB6">
        <w:rPr>
          <w:rFonts w:ascii="Arial Narrow" w:hAnsi="Arial Narrow" w:cs="Calibri"/>
          <w:sz w:val="22"/>
          <w:szCs w:val="22"/>
        </w:rPr>
        <w:t xml:space="preserve"> a záväzok kupujúceho riadne a včas dodaný predmet zmluvy prevziať a zaplatiť za neho cenu podľa článku V. tejto zmluvy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</w:p>
    <w:p w14:paraId="1D18BA46" w14:textId="2AC11915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</w:t>
      </w:r>
      <w:r w:rsidR="00D92443">
        <w:rPr>
          <w:rFonts w:ascii="Arial Narrow" w:hAnsi="Arial Narrow"/>
          <w:sz w:val="22"/>
          <w:szCs w:val="22"/>
        </w:rPr>
        <w:t xml:space="preserve">riadne a včas </w:t>
      </w:r>
      <w:r w:rsidRPr="00930F80">
        <w:rPr>
          <w:rFonts w:ascii="Arial Narrow" w:hAnsi="Arial Narrow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 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podľa prílohy č. </w:t>
      </w:r>
      <w:r w:rsidR="00DA05EA">
        <w:rPr>
          <w:rFonts w:ascii="Arial Narrow" w:hAnsi="Arial Narrow"/>
          <w:sz w:val="22"/>
          <w:szCs w:val="22"/>
        </w:rPr>
        <w:t>2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14:paraId="441908B6" w14:textId="579E5EBB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F7006E9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57C5D57C" w14:textId="59602C54" w:rsidR="00363E6B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187522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Pr="00287E51">
        <w:rPr>
          <w:rFonts w:ascii="Arial Narrow" w:hAnsi="Arial Narrow" w:cs="Calibri"/>
          <w:sz w:val="22"/>
          <w:szCs w:val="22"/>
        </w:rPr>
        <w:t xml:space="preserve"> vzťahujú</w:t>
      </w:r>
      <w:r w:rsidR="00187522">
        <w:rPr>
          <w:rFonts w:ascii="Arial Narrow" w:hAnsi="Arial Narrow" w:cs="Calibri"/>
          <w:sz w:val="22"/>
          <w:szCs w:val="22"/>
        </w:rPr>
        <w:t xml:space="preserve">, a to najmä </w:t>
      </w:r>
      <w:r w:rsidRPr="00287E51">
        <w:rPr>
          <w:rFonts w:ascii="Arial Narrow" w:hAnsi="Arial Narrow" w:cs="Calibri"/>
          <w:sz w:val="22"/>
          <w:szCs w:val="22"/>
        </w:rPr>
        <w:t xml:space="preserve">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8C46BC">
        <w:rPr>
          <w:rFonts w:ascii="Arial Narrow" w:hAnsi="Arial Narrow" w:cs="Calibri"/>
          <w:sz w:val="22"/>
          <w:szCs w:val="22"/>
        </w:rPr>
        <w:t xml:space="preserve"> o  manipulovaní a skladovaní</w:t>
      </w:r>
      <w:r w:rsidR="00187522">
        <w:rPr>
          <w:rFonts w:ascii="Arial Narrow" w:hAnsi="Arial Narrow" w:cs="Calibri"/>
          <w:sz w:val="22"/>
          <w:szCs w:val="22"/>
        </w:rPr>
        <w:t xml:space="preserve">, všetko </w:t>
      </w:r>
      <w:r w:rsidR="008C46BC">
        <w:rPr>
          <w:rFonts w:ascii="Arial Narrow" w:hAnsi="Arial Narrow" w:cs="Calibri"/>
          <w:sz w:val="22"/>
          <w:szCs w:val="22"/>
        </w:rPr>
        <w:t xml:space="preserve"> v slovenskom jazyku.</w:t>
      </w:r>
    </w:p>
    <w:p w14:paraId="5B9BE2C4" w14:textId="77777777" w:rsidR="00287E51" w:rsidRPr="00287E51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657688D" w14:textId="75D8CDFA" w:rsidR="0043329B" w:rsidRPr="003D2F55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187522">
        <w:rPr>
          <w:rFonts w:ascii="Arial Narrow" w:hAnsi="Arial Narrow" w:cs="Calibri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 Kupujúcemu</w:t>
      </w:r>
      <w:r>
        <w:rPr>
          <w:rFonts w:ascii="Arial Narrow" w:hAnsi="Arial Narrow" w:cs="Calibri"/>
          <w:sz w:val="22"/>
          <w:szCs w:val="22"/>
        </w:rPr>
        <w:t xml:space="preserve"> najneskôr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737FAA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6B527A">
        <w:rPr>
          <w:rFonts w:ascii="Arial Narrow" w:hAnsi="Arial Narrow" w:cs="Calibri"/>
          <w:sz w:val="22"/>
          <w:szCs w:val="22"/>
        </w:rPr>
        <w:t xml:space="preserve"> </w:t>
      </w:r>
      <w:r w:rsidR="00F31467" w:rsidRPr="00621B8E">
        <w:rPr>
          <w:rFonts w:ascii="Arial Narrow" w:hAnsi="Arial Narrow" w:cs="Calibri"/>
          <w:sz w:val="22"/>
          <w:szCs w:val="22"/>
          <w:highlight w:val="yellow"/>
        </w:rPr>
        <w:t xml:space="preserve">[doplní verejný obstarávateľ pri zadávaní </w:t>
      </w:r>
      <w:r w:rsidR="00F31467" w:rsidRPr="00621B8E">
        <w:rPr>
          <w:rFonts w:ascii="Arial Narrow" w:hAnsi="Arial Narrow"/>
          <w:sz w:val="22"/>
          <w:szCs w:val="22"/>
          <w:highlight w:val="yellow"/>
        </w:rPr>
        <w:t>konkrétnej</w:t>
      </w:r>
      <w:r w:rsidR="00F31467" w:rsidRPr="00621B8E">
        <w:rPr>
          <w:rFonts w:ascii="Arial Narrow" w:hAnsi="Arial Narrow" w:cs="Calibri"/>
          <w:sz w:val="22"/>
          <w:szCs w:val="22"/>
          <w:highlight w:val="yellow"/>
        </w:rPr>
        <w:t xml:space="preserve"> zákazky]</w:t>
      </w:r>
      <w:r w:rsidR="00F31467" w:rsidRPr="00F31467" w:rsidDel="00F31467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="00DE521C">
        <w:rPr>
          <w:rFonts w:ascii="Arial Narrow" w:hAnsi="Arial Narrow" w:cs="Calibri"/>
          <w:sz w:val="22"/>
          <w:szCs w:val="22"/>
        </w:rPr>
        <w:t xml:space="preserve"> </w:t>
      </w:r>
      <w:r w:rsidRPr="003D2F55">
        <w:rPr>
          <w:rFonts w:ascii="Arial Narrow" w:hAnsi="Arial Narrow" w:cs="Calibri"/>
          <w:sz w:val="22"/>
          <w:szCs w:val="22"/>
        </w:rPr>
        <w:t xml:space="preserve">odo dňa nadobudnutia účinnosti tejto zmluvy.  </w:t>
      </w:r>
    </w:p>
    <w:p w14:paraId="6252998D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je </w:t>
      </w:r>
      <w:r w:rsidR="0091435F" w:rsidRPr="0054359B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zákazky]</w:t>
      </w:r>
      <w:r w:rsidRPr="0054359B">
        <w:rPr>
          <w:rFonts w:ascii="Arial Narrow" w:hAnsi="Arial Narrow" w:cs="Calibri"/>
          <w:i/>
          <w:sz w:val="22"/>
          <w:szCs w:val="22"/>
        </w:rPr>
        <w:t>.</w:t>
      </w:r>
    </w:p>
    <w:p w14:paraId="15D99622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7615D02" w14:textId="77777777" w:rsidR="00FC2417" w:rsidRPr="00737FAA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14:paraId="4D39FA94" w14:textId="2C62CA82" w:rsidR="00FC2417" w:rsidRPr="008E1AA4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Pr="00E53022">
        <w:rPr>
          <w:rFonts w:ascii="Arial Narrow" w:hAnsi="Arial Narrow" w:cs="Calibri"/>
          <w:sz w:val="22"/>
          <w:szCs w:val="22"/>
        </w:rPr>
        <w:t>riadne užívať a Predávajúci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302535">
        <w:rPr>
          <w:rFonts w:ascii="Arial Narrow" w:hAnsi="Arial Narrow"/>
          <w:color w:val="000000"/>
          <w:sz w:val="22"/>
          <w:szCs w:val="22"/>
        </w:rPr>
        <w:t>.</w:t>
      </w:r>
    </w:p>
    <w:p w14:paraId="444EEC56" w14:textId="77777777" w:rsidR="00BA2865" w:rsidRPr="00737FAA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2CD80A7" w14:textId="77777777" w:rsidR="00BA2865" w:rsidRPr="00737FAA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40CD3F3D" w14:textId="5F905D66" w:rsidR="00BA2865" w:rsidRPr="00BA2865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8B250C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>tohto článku</w:t>
      </w:r>
      <w:r w:rsidR="00ED0EB6">
        <w:rPr>
          <w:rFonts w:ascii="Arial Narrow" w:hAnsi="Arial Narrow"/>
          <w:sz w:val="22"/>
          <w:szCs w:val="22"/>
        </w:rPr>
        <w:t xml:space="preserve"> zmluvy</w:t>
      </w:r>
      <w:r w:rsidR="00E32E21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a predmety subdodávok</w:t>
      </w:r>
      <w:r w:rsidR="00CE59A5">
        <w:rPr>
          <w:rFonts w:ascii="Arial Narrow" w:hAnsi="Arial Narrow"/>
          <w:sz w:val="22"/>
          <w:szCs w:val="22"/>
        </w:rPr>
        <w:t>.</w:t>
      </w:r>
      <w:r w:rsidRPr="00BA2865">
        <w:rPr>
          <w:rFonts w:ascii="Arial Narrow" w:hAnsi="Arial Narrow"/>
          <w:sz w:val="22"/>
          <w:szCs w:val="22"/>
        </w:rPr>
        <w:t xml:space="preserve"> 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CFFE652" w14:textId="77777777" w:rsidR="000A644D" w:rsidRPr="00FD2E21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</w:t>
      </w:r>
    </w:p>
    <w:p w14:paraId="7860941C" w14:textId="05007819" w:rsidR="00E1263A" w:rsidRPr="000A644D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C1EDF00" w14:textId="7E0C0FE0" w:rsidR="00FC2417" w:rsidRPr="00A04F38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375DBAF9" w14:textId="77777777" w:rsidR="00FC2417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21DAB03C" w14:textId="77777777" w:rsidR="00BB427D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5DA7B61A" w14:textId="77777777" w:rsidR="00BB427D" w:rsidRPr="006E6235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34246B">
        <w:rPr>
          <w:rFonts w:ascii="Arial Narrow" w:hAnsi="Arial Narrow" w:cs="Calibri"/>
          <w:sz w:val="22"/>
          <w:szCs w:val="22"/>
        </w:rPr>
        <w:t>5.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0601E827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1233D871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A032A56" w14:textId="1F9AACBA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</w:t>
      </w:r>
      <w:r w:rsidR="00F31467">
        <w:rPr>
          <w:rFonts w:ascii="Arial Narrow" w:hAnsi="Arial Narrow"/>
          <w:sz w:val="22"/>
          <w:szCs w:val="22"/>
        </w:rPr>
        <w:t>výsledkom verejného obstarávania</w:t>
      </w:r>
      <w:r w:rsidR="005D55E8">
        <w:rPr>
          <w:rFonts w:ascii="Arial Narrow" w:hAnsi="Arial Narrow"/>
          <w:sz w:val="22"/>
          <w:szCs w:val="22"/>
        </w:rPr>
        <w:t>, je stanovená v súlade so zákonom č. NR SR č. 18/1996 Z. z. o cenách v znení neskorších predpisov</w:t>
      </w:r>
      <w:r w:rsidRPr="00930F80">
        <w:rPr>
          <w:rFonts w:ascii="Arial Narrow" w:hAnsi="Arial Narrow"/>
          <w:sz w:val="22"/>
          <w:szCs w:val="22"/>
        </w:rPr>
        <w:t>, ako cena konečná</w:t>
      </w:r>
      <w:r w:rsidR="00A23C81">
        <w:rPr>
          <w:rFonts w:ascii="Arial Narrow" w:hAnsi="Arial Narrow"/>
          <w:sz w:val="22"/>
          <w:szCs w:val="22"/>
        </w:rPr>
        <w:t xml:space="preserve"> zahŕňajúca všetky dodávky a prípadné súvisiace služby</w:t>
      </w:r>
      <w:r w:rsidRPr="00930F80">
        <w:rPr>
          <w:rFonts w:ascii="Arial Narrow" w:hAnsi="Arial Narrow"/>
          <w:sz w:val="22"/>
          <w:szCs w:val="22"/>
        </w:rPr>
        <w:t xml:space="preserve">,  a je uvedená v prílohe č. </w:t>
      </w:r>
      <w:r w:rsidR="00F432CD">
        <w:rPr>
          <w:rFonts w:ascii="Arial Narrow" w:hAnsi="Arial Narrow"/>
          <w:sz w:val="22"/>
          <w:szCs w:val="22"/>
        </w:rPr>
        <w:t>3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167C036E" w14:textId="28F15631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predmetu zmluvy</w:t>
      </w:r>
      <w:r w:rsidRPr="00930F80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="00187522">
        <w:rPr>
          <w:rFonts w:ascii="Arial Narrow" w:hAnsi="Arial Narrow"/>
          <w:sz w:val="22"/>
          <w:szCs w:val="22"/>
        </w:rPr>
        <w:t xml:space="preserve"> v časti Predávajúci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5D55E8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 uvedeného v záhlaví tejto zmluvy.</w:t>
      </w:r>
    </w:p>
    <w:p w14:paraId="2E9C52CD" w14:textId="77777777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3E215305" w14:textId="77777777" w:rsidR="00FC2417" w:rsidRPr="002761BF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F7ACAC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44C1CD3E" w14:textId="77777777" w:rsidR="00FC2417" w:rsidRPr="00930F80" w:rsidRDefault="00FC2417" w:rsidP="00154C42">
      <w:pPr>
        <w:pStyle w:val="CTLhead"/>
        <w:spacing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59EBB005" w14:textId="77777777" w:rsidR="00FC2417" w:rsidRPr="0000220B" w:rsidRDefault="00FC2417" w:rsidP="006E6235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>Záručná doba na predmet zmluvy je</w:t>
      </w:r>
      <w:r w:rsidR="00704F9D">
        <w:rPr>
          <w:rFonts w:ascii="Arial Narrow" w:hAnsi="Arial Narrow"/>
          <w:sz w:val="22"/>
          <w:szCs w:val="22"/>
        </w:rPr>
        <w:t xml:space="preserve"> </w:t>
      </w:r>
      <w:r w:rsidR="00704F9D" w:rsidRPr="0054359B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zákazky]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Pr="0000220B">
        <w:rPr>
          <w:rFonts w:ascii="Arial Narrow" w:hAnsi="Arial Narrow"/>
          <w:sz w:val="22"/>
          <w:szCs w:val="22"/>
        </w:rPr>
        <w:t xml:space="preserve">od prebratia </w:t>
      </w:r>
      <w:r w:rsidR="002761BF" w:rsidRPr="0000220B">
        <w:rPr>
          <w:rFonts w:ascii="Arial Narrow" w:hAnsi="Arial Narrow"/>
          <w:sz w:val="22"/>
          <w:szCs w:val="22"/>
        </w:rPr>
        <w:t xml:space="preserve">predmetu zmluvy </w:t>
      </w:r>
      <w:r w:rsidR="007B453C" w:rsidRPr="0000220B">
        <w:rPr>
          <w:rFonts w:ascii="Arial Narrow" w:hAnsi="Arial Narrow"/>
          <w:sz w:val="22"/>
          <w:szCs w:val="22"/>
        </w:rPr>
        <w:t>k</w:t>
      </w:r>
      <w:r w:rsidRPr="0000220B">
        <w:rPr>
          <w:rFonts w:ascii="Arial Narrow" w:hAnsi="Arial Narrow"/>
          <w:sz w:val="22"/>
          <w:szCs w:val="22"/>
        </w:rPr>
        <w:t>upujúcim</w:t>
      </w:r>
      <w:r w:rsidR="00E05266" w:rsidRPr="0000220B">
        <w:rPr>
          <w:rFonts w:ascii="Arial Narrow" w:hAnsi="Arial Narrow"/>
          <w:sz w:val="22"/>
          <w:szCs w:val="22"/>
        </w:rPr>
        <w:t xml:space="preserve">, </w:t>
      </w:r>
      <w:r w:rsidR="00E05266" w:rsidRPr="0000220B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00220B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41CC8A41" w14:textId="7777777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predmetu zmluvy 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predmetu zmluvy 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5EE0C2AB" w14:textId="7777777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predmetu zmluvy 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F98F8E7" w14:textId="77777777" w:rsidR="00FC2417" w:rsidRPr="00930F80" w:rsidRDefault="008C46BC" w:rsidP="006E623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6.4.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p</w:t>
      </w:r>
      <w:r w:rsidR="00BF0AE1">
        <w:rPr>
          <w:rFonts w:ascii="Arial Narrow" w:hAnsi="Arial Narrow" w:cs="Calibri"/>
          <w:sz w:val="22"/>
          <w:szCs w:val="22"/>
        </w:rPr>
        <w:t xml:space="preserve">redmetu zmluvy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požadovať:</w:t>
      </w:r>
    </w:p>
    <w:p w14:paraId="5A91AD81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Pr="00930F80">
        <w:rPr>
          <w:rFonts w:ascii="Arial Narrow" w:hAnsi="Arial Narrow" w:cs="Calibri"/>
          <w:sz w:val="22"/>
          <w:szCs w:val="22"/>
        </w:rPr>
        <w:t xml:space="preserve"> predmetu zmluvy, ak sú opraviteľné,</w:t>
      </w:r>
    </w:p>
    <w:p w14:paraId="21BA03CF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BF0AE1">
        <w:rPr>
          <w:rFonts w:ascii="Arial Narrow" w:hAnsi="Arial Narrow" w:cs="Calibri"/>
          <w:sz w:val="22"/>
          <w:szCs w:val="22"/>
        </w:rPr>
        <w:t xml:space="preserve"> predmetu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830DCC9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predmetu zmluvy </w:t>
      </w:r>
      <w:r w:rsidRPr="00A04F38">
        <w:rPr>
          <w:rFonts w:ascii="Arial Narrow" w:hAnsi="Arial Narrow" w:cs="Calibri"/>
          <w:sz w:val="22"/>
          <w:szCs w:val="22"/>
        </w:rPr>
        <w:t>za predmet zmluvy</w:t>
      </w:r>
      <w:r w:rsidRPr="00930F80">
        <w:rPr>
          <w:rFonts w:ascii="Arial Narrow" w:hAnsi="Arial Narrow" w:cs="Calibri"/>
          <w:sz w:val="22"/>
          <w:szCs w:val="22"/>
        </w:rPr>
        <w:t xml:space="preserve"> bez vád.</w:t>
      </w:r>
    </w:p>
    <w:p w14:paraId="0592FAE4" w14:textId="77777777" w:rsidR="00FC2417" w:rsidRPr="00930F80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8C46BC">
        <w:rPr>
          <w:rFonts w:ascii="Arial Narrow" w:hAnsi="Arial Narrow" w:cs="Calibri"/>
          <w:sz w:val="22"/>
          <w:szCs w:val="22"/>
        </w:rPr>
        <w:t>ku podľa bodu 6.4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  <w:r w:rsidR="008C46B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8C46BC" w:rsidRPr="001D67E7">
        <w:rPr>
          <w:rFonts w:ascii="Arial Narrow" w:hAnsi="Arial Narrow" w:cs="Calibri"/>
          <w:sz w:val="22"/>
          <w:szCs w:val="22"/>
          <w:highlight w:val="yellow"/>
        </w:rPr>
        <w:t>do......</w:t>
      </w:r>
      <w:r w:rsidR="008C46BC">
        <w:rPr>
          <w:rFonts w:ascii="Arial Narrow" w:hAnsi="Arial Narrow" w:cs="Calibri"/>
          <w:sz w:val="22"/>
          <w:szCs w:val="22"/>
        </w:rPr>
        <w:t xml:space="preserve"> dní odo dňa uplatnenia reklamácie</w:t>
      </w:r>
    </w:p>
    <w:p w14:paraId="72AFB7A5" w14:textId="77777777" w:rsidR="00FC2417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5A252555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5E16196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10D950FF" w14:textId="77777777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7C051289" w14:textId="77777777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69A5120B" w14:textId="77777777" w:rsidR="00FC2417" w:rsidRPr="00930F80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7CB22EFF" w14:textId="77777777" w:rsidR="00FC2417" w:rsidRPr="00930F80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bezchybný predmet zmluvy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5AC1E844" w14:textId="77777777" w:rsidR="00FC2417" w:rsidRPr="00F0274A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5BF86DD1" w14:textId="77777777" w:rsidR="00F0274A" w:rsidRPr="00F0274A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predmetu zmluvy</w:t>
      </w:r>
      <w:r w:rsidR="00F0274A" w:rsidRPr="00F0274A">
        <w:rPr>
          <w:rFonts w:ascii="Arial Narrow" w:hAnsi="Arial Narrow"/>
          <w:sz w:val="22"/>
          <w:szCs w:val="22"/>
        </w:rPr>
        <w:t xml:space="preserve"> si vyžiadať vzorku ktorejkoľvek časti </w:t>
      </w:r>
      <w:r w:rsidR="008808C4">
        <w:rPr>
          <w:rFonts w:ascii="Arial Narrow" w:hAnsi="Arial Narrow"/>
          <w:sz w:val="22"/>
          <w:szCs w:val="22"/>
        </w:rPr>
        <w:t>predmetu zmluvy</w:t>
      </w:r>
      <w:r w:rsidR="00613A8C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6499C117" w14:textId="015003B1" w:rsidR="00F0274A" w:rsidRPr="00AC37B3" w:rsidRDefault="00F0274A" w:rsidP="00AC37B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8808C4"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>nezodpovedá požadovanej špecifikáci</w:t>
      </w:r>
      <w:r w:rsidR="00746C95">
        <w:rPr>
          <w:rFonts w:ascii="Arial Narrow" w:hAnsi="Arial Narrow"/>
          <w:sz w:val="22"/>
          <w:szCs w:val="22"/>
        </w:rPr>
        <w:t>i</w:t>
      </w:r>
      <w:r w:rsidRPr="00F0274A">
        <w:rPr>
          <w:rFonts w:ascii="Arial Narrow" w:hAnsi="Arial Narrow"/>
          <w:sz w:val="22"/>
          <w:szCs w:val="22"/>
        </w:rPr>
        <w:t xml:space="preserve">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945EA5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predmetu zmluvy</w:t>
      </w:r>
      <w:r w:rsidRPr="00F0274A">
        <w:rPr>
          <w:rFonts w:ascii="Arial Narrow" w:hAnsi="Arial Narrow"/>
          <w:sz w:val="22"/>
          <w:szCs w:val="22"/>
        </w:rPr>
        <w:t>. Originalitu môže potvrdiť aj výrobca príslušných periférnych zariadení, alebo jeho zástupca pre Slovenskú republiku.</w:t>
      </w:r>
    </w:p>
    <w:p w14:paraId="69C238CC" w14:textId="36F0262E" w:rsidR="00AC37B3" w:rsidRPr="004F5455" w:rsidRDefault="004F5455" w:rsidP="00AC37B3">
      <w:pPr>
        <w:pStyle w:val="CTL"/>
        <w:numPr>
          <w:ilvl w:val="1"/>
          <w:numId w:val="5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</w:rPr>
        <w:t>V prípade, že predmet zákazky je</w:t>
      </w:r>
      <w:r w:rsidR="00772FCE" w:rsidRPr="004F5455">
        <w:rPr>
          <w:rFonts w:ascii="Arial Narrow" w:hAnsi="Arial Narrow"/>
          <w:sz w:val="22"/>
          <w:szCs w:val="22"/>
        </w:rPr>
        <w:t xml:space="preserve"> financovan</w:t>
      </w:r>
      <w:r w:rsidRPr="004F5455">
        <w:rPr>
          <w:rFonts w:ascii="Arial Narrow" w:hAnsi="Arial Narrow"/>
          <w:sz w:val="22"/>
          <w:szCs w:val="22"/>
        </w:rPr>
        <w:t>ý</w:t>
      </w:r>
      <w:r w:rsidR="00772FCE" w:rsidRPr="004F5455">
        <w:rPr>
          <w:rFonts w:ascii="Arial Narrow" w:hAnsi="Arial Narrow"/>
          <w:sz w:val="22"/>
          <w:szCs w:val="22"/>
        </w:rPr>
        <w:t xml:space="preserve"> z prostriedkov EÚ</w:t>
      </w:r>
      <w:r>
        <w:rPr>
          <w:rFonts w:ascii="Arial Narrow" w:hAnsi="Arial Narrow"/>
          <w:sz w:val="22"/>
          <w:szCs w:val="22"/>
        </w:rPr>
        <w:t>,</w:t>
      </w:r>
      <w:r w:rsidRPr="004F5455">
        <w:rPr>
          <w:rFonts w:ascii="Arial Narrow" w:hAnsi="Arial Narrow"/>
          <w:i/>
          <w:sz w:val="22"/>
          <w:szCs w:val="22"/>
        </w:rPr>
        <w:t xml:space="preserve"> </w:t>
      </w:r>
      <w:r w:rsidR="00AC37B3" w:rsidRPr="004F5455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je </w:t>
      </w:r>
      <w:r w:rsidRPr="004F5455">
        <w:rPr>
          <w:rFonts w:ascii="Arial Narrow" w:hAnsi="Arial Narrow"/>
          <w:sz w:val="22"/>
          <w:szCs w:val="22"/>
        </w:rPr>
        <w:t>p</w:t>
      </w:r>
      <w:r w:rsidR="00AC37B3" w:rsidRPr="004F5455">
        <w:rPr>
          <w:rFonts w:ascii="Arial Narrow" w:hAnsi="Arial Narrow"/>
          <w:sz w:val="22"/>
          <w:szCs w:val="22"/>
        </w:rPr>
        <w:t>ovinný poskytnúť spolupôsobenie oprávneným osobám povereným výkonom kontroly/auditu súvisiaceho s predmetom zmluvy kedykoľvek počas platnosti a účinnosti zmluvy o nenávratnom finančnom príspevku (NFP) a poskytnúť im všetku potrebnú súčinnosť. Oprávnené osoby na výkon kontroly/auditu sú najmä:</w:t>
      </w:r>
    </w:p>
    <w:p w14:paraId="5B09E1D8" w14:textId="42AF0BE0" w:rsidR="00AC37B3" w:rsidRPr="004F5455" w:rsidRDefault="00AC37B3" w:rsidP="00AC37B3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</w:rPr>
        <w:t>a)</w:t>
      </w:r>
      <w:r w:rsidRPr="004F5455">
        <w:rPr>
          <w:rFonts w:ascii="Arial Narrow" w:hAnsi="Arial Narrow"/>
          <w:sz w:val="22"/>
          <w:szCs w:val="22"/>
        </w:rPr>
        <w:tab/>
        <w:t>poskytovateľ NFP a ním poverené osoby,</w:t>
      </w:r>
    </w:p>
    <w:p w14:paraId="2529FF5A" w14:textId="2CB876C1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b)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útvar následnej finančnej kontroly a nimi poverené osoby,</w:t>
      </w:r>
    </w:p>
    <w:p w14:paraId="5735D80A" w14:textId="008370DB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c)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Najvyšší kontrolný úrad SR, príslušná Správa finančnej kontroly, Certifikačný orgán a nimi poverené osoby,</w:t>
      </w:r>
    </w:p>
    <w:p w14:paraId="47ADE840" w14:textId="3A920A77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d)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orgán auditu, jeho spolupracujúce orgány a nimi poverené osoby,</w:t>
      </w:r>
    </w:p>
    <w:p w14:paraId="75B3B950" w14:textId="45272923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e)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splnomocnení zástupcovia Európskej Komisie a Európskeho dvora audítorov,</w:t>
      </w:r>
    </w:p>
    <w:p w14:paraId="459318AE" w14:textId="4A5A31E4" w:rsidR="00AC37B3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f)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 xml:space="preserve">osoby prizvané orgánmi uvedenými v písm. a) až d) v súlade s príslušnými právnymi </w:t>
      </w:r>
      <w:r w:rsidRPr="004F5455">
        <w:rPr>
          <w:rFonts w:ascii="Arial Narrow" w:hAnsi="Arial Narrow"/>
          <w:sz w:val="22"/>
          <w:szCs w:val="22"/>
        </w:rPr>
        <w:t>predpismi SR a EÚ.</w:t>
      </w:r>
    </w:p>
    <w:p w14:paraId="0138D45E" w14:textId="6CB8A66E" w:rsidR="00860049" w:rsidRPr="00860049" w:rsidRDefault="00860049" w:rsidP="008600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rPr>
          <w:rFonts w:ascii="Arial Narrow" w:hAnsi="Arial Narrow"/>
          <w:sz w:val="22"/>
          <w:szCs w:val="22"/>
        </w:rPr>
      </w:pPr>
      <w:r w:rsidRPr="00D4599A">
        <w:rPr>
          <w:rFonts w:ascii="Arial Narrow" w:hAnsi="Arial Narrow"/>
          <w:sz w:val="22"/>
          <w:szCs w:val="22"/>
        </w:rPr>
        <w:t>(</w:t>
      </w:r>
      <w:r w:rsidRPr="00D4599A">
        <w:rPr>
          <w:rFonts w:ascii="Arial Narrow" w:hAnsi="Arial Narrow"/>
          <w:i/>
          <w:sz w:val="22"/>
          <w:szCs w:val="22"/>
          <w:highlight w:val="yellow"/>
        </w:rPr>
        <w:t>uvedený článok platí len pri financovaní  zmluvy z NFP</w:t>
      </w:r>
      <w:r w:rsidRPr="00D4599A">
        <w:rPr>
          <w:rFonts w:ascii="Arial Narrow" w:hAnsi="Arial Narrow"/>
          <w:sz w:val="22"/>
          <w:szCs w:val="22"/>
          <w:highlight w:val="yellow"/>
        </w:rPr>
        <w:t>)</w:t>
      </w:r>
    </w:p>
    <w:p w14:paraId="37DACBA7" w14:textId="6382B163" w:rsidR="00AC37B3" w:rsidRPr="00AC37B3" w:rsidRDefault="00AC37B3" w:rsidP="00AC37B3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color w:val="C00000"/>
          <w:sz w:val="22"/>
          <w:szCs w:val="22"/>
        </w:rPr>
      </w:pPr>
    </w:p>
    <w:p w14:paraId="79918B35" w14:textId="77777777" w:rsidR="00FC2417" w:rsidRPr="00F50D9F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5F967A1F" w14:textId="77777777" w:rsidR="00FC2417" w:rsidRPr="00F50D9F" w:rsidRDefault="00FC2417" w:rsidP="00154C42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AD7D97F" w14:textId="77777777" w:rsidR="00FC2417" w:rsidRPr="00F50D9F" w:rsidRDefault="00FC2417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5BF95A2" w14:textId="2FC9F871" w:rsidR="00FC2417" w:rsidRPr="007F32BF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>redávajúceho s dodaním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podľa čl. IV.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bod 4.3.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</w:t>
      </w:r>
      <w:r w:rsidR="00187522">
        <w:rPr>
          <w:rFonts w:ascii="Arial Narrow" w:hAnsi="Arial Narrow" w:cs="Calibri"/>
          <w:sz w:val="22"/>
          <w:szCs w:val="22"/>
          <w:lang w:val="sk-SK"/>
        </w:rPr>
        <w:t> </w:t>
      </w:r>
      <w:r w:rsidR="008808C4">
        <w:rPr>
          <w:rFonts w:ascii="Arial Narrow" w:hAnsi="Arial Narrow" w:cs="Calibri"/>
          <w:sz w:val="22"/>
          <w:szCs w:val="22"/>
          <w:lang w:val="sk-SK"/>
        </w:rPr>
        <w:t>ceny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celého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predmet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u zmluvy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1DC400C" w14:textId="77777777" w:rsidR="004F1B98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>p</w:t>
      </w:r>
      <w:proofErr w:type="spellStart"/>
      <w:r w:rsidRPr="00F825A4">
        <w:rPr>
          <w:rFonts w:ascii="Arial Narrow" w:hAnsi="Arial Narrow" w:cs="Calibri"/>
          <w:sz w:val="22"/>
          <w:szCs w:val="22"/>
        </w:rPr>
        <w:t>redávajúceho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 lehote podľa čl. VI bod 6.5 tejto zmluvy</w:t>
      </w:r>
      <w:r w:rsidRPr="00F825A4">
        <w:rPr>
          <w:rFonts w:ascii="Arial Narrow" w:hAnsi="Arial Narrow" w:cs="Calibri"/>
          <w:sz w:val="22"/>
          <w:szCs w:val="22"/>
        </w:rPr>
        <w:t xml:space="preserve"> 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predmetu </w:t>
      </w:r>
      <w:r w:rsidR="00CE13E9">
        <w:rPr>
          <w:rFonts w:ascii="Arial Narrow" w:hAnsi="Arial Narrow" w:cs="Calibri"/>
          <w:sz w:val="22"/>
          <w:szCs w:val="22"/>
          <w:lang w:val="sk-SK"/>
        </w:rPr>
        <w:t>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4991B7D1" w14:textId="77777777" w:rsidR="00FC2417" w:rsidRPr="007F32BF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7645B440" w14:textId="4BB985C1" w:rsidR="00582DCF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="00112BF0">
        <w:rPr>
          <w:rFonts w:ascii="Arial Narrow" w:hAnsi="Arial Narrow" w:cs="Calibri"/>
          <w:sz w:val="22"/>
          <w:szCs w:val="22"/>
        </w:rPr>
        <w:t xml:space="preserve">podľa bodu 8.1 tohto článku zmluvy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41232950" w14:textId="4D105214" w:rsidR="00112BF0" w:rsidRPr="00112BF0" w:rsidRDefault="0077096A" w:rsidP="00112BF0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after="240" w:line="24" w:lineRule="atLeast"/>
        <w:jc w:val="both"/>
        <w:rPr>
          <w:rFonts w:ascii="Arial Narrow" w:hAnsi="Arial Narrow" w:cs="Calibri"/>
          <w:sz w:val="22"/>
          <w:szCs w:val="22"/>
        </w:rPr>
      </w:pPr>
      <w:r w:rsidRPr="00112BF0">
        <w:rPr>
          <w:rFonts w:ascii="Arial Narrow" w:hAnsi="Arial Narrow" w:cs="Calibri"/>
          <w:sz w:val="22"/>
          <w:szCs w:val="22"/>
        </w:rPr>
        <w:t>Nárok na zmluvnú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pokut</w:t>
      </w:r>
      <w:r w:rsidRPr="00112BF0">
        <w:rPr>
          <w:rFonts w:ascii="Arial Narrow" w:hAnsi="Arial Narrow" w:cs="Calibri"/>
          <w:sz w:val="22"/>
          <w:szCs w:val="22"/>
        </w:rPr>
        <w:t>u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112BF0">
        <w:rPr>
          <w:rFonts w:ascii="Arial Narrow" w:hAnsi="Arial Narrow" w:cs="Calibri"/>
          <w:sz w:val="22"/>
          <w:szCs w:val="22"/>
        </w:rPr>
        <w:t>,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112BF0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112BF0">
        <w:rPr>
          <w:rFonts w:ascii="Arial Narrow" w:hAnsi="Arial Narrow" w:cs="Calibri"/>
          <w:sz w:val="22"/>
          <w:szCs w:val="22"/>
        </w:rPr>
        <w:t>vyšš</w:t>
      </w:r>
      <w:r w:rsidR="00CE13E9" w:rsidRPr="00112BF0">
        <w:rPr>
          <w:rFonts w:ascii="Arial Narrow" w:hAnsi="Arial Narrow" w:cs="Calibri"/>
          <w:sz w:val="22"/>
          <w:szCs w:val="22"/>
        </w:rPr>
        <w:t>ia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112BF0">
        <w:rPr>
          <w:rFonts w:ascii="Arial Narrow" w:hAnsi="Arial Narrow" w:cs="Calibri"/>
          <w:sz w:val="22"/>
          <w:szCs w:val="22"/>
        </w:rPr>
        <w:t>)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. </w:t>
      </w:r>
      <w:r w:rsidR="00112BF0" w:rsidRPr="00112BF0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 vojna, mobilizácia, </w:t>
      </w:r>
      <w:proofErr w:type="spellStart"/>
      <w:r w:rsidR="00112BF0" w:rsidRPr="00112BF0">
        <w:rPr>
          <w:rFonts w:ascii="Arial Narrow" w:hAnsi="Arial Narrow" w:cs="Calibri"/>
          <w:sz w:val="22"/>
          <w:szCs w:val="22"/>
          <w:lang w:val="sk-SK"/>
        </w:rPr>
        <w:t>pov</w:t>
      </w:r>
      <w:r w:rsidR="00112BF0" w:rsidRPr="00112BF0">
        <w:rPr>
          <w:rFonts w:ascii="Arial Narrow" w:hAnsi="Arial Narrow" w:cs="Calibri"/>
          <w:sz w:val="22"/>
          <w:szCs w:val="22"/>
        </w:rPr>
        <w:t>stanie</w:t>
      </w:r>
      <w:proofErr w:type="spellEnd"/>
      <w:r w:rsidR="00112BF0" w:rsidRPr="00112BF0">
        <w:rPr>
          <w:rFonts w:ascii="Arial Narrow" w:hAnsi="Arial Narrow" w:cs="Calibri"/>
          <w:sz w:val="22"/>
          <w:szCs w:val="22"/>
        </w:rPr>
        <w:t xml:space="preserve">, živelné pohromy, požiare, embargo, karantény. Oslobodenie od zodpovednosti za nesplnenie dodania predmetu zmluvy trvá po dobu pôsobenia vyššej moci, najviac však dva </w:t>
      </w:r>
      <w:r w:rsidR="00112BF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12BF0" w:rsidRPr="00112BF0">
        <w:rPr>
          <w:rFonts w:ascii="Arial Narrow" w:hAnsi="Arial Narrow" w:cs="Calibri"/>
          <w:sz w:val="22"/>
          <w:szCs w:val="22"/>
        </w:rPr>
        <w:t xml:space="preserve">mesiace. Po uplynutí tejto doby sa Zmluvné strany dohodnú o ďalšom postupe. Ak nedôjde k dohode, má strana, ktorá sa odvolala na okolnosti vylučujúce zodpovednosť, právo odstúpiť od zmluvy. </w:t>
      </w:r>
    </w:p>
    <w:p w14:paraId="6B20E798" w14:textId="2A7046E4" w:rsidR="001F49E2" w:rsidRDefault="00112BF0" w:rsidP="00112BF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8.4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</w:p>
    <w:p w14:paraId="6861A53B" w14:textId="77777777" w:rsidR="001F49E2" w:rsidRPr="006E6235" w:rsidRDefault="001F49E2" w:rsidP="001F49E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50CC1BF" w14:textId="77777777" w:rsidR="00FC2417" w:rsidRPr="00582DCF" w:rsidRDefault="00FC2417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557172C9" w14:textId="77777777" w:rsidR="00FC2417" w:rsidRPr="00930F80" w:rsidRDefault="006E6235" w:rsidP="00154C42">
      <w:pPr>
        <w:spacing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 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C4D5DE9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3F18AC21" w14:textId="77777777" w:rsidR="00FC2417" w:rsidRPr="00F50D9F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0904AD3" w14:textId="77777777" w:rsidR="00FC2417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2A935C84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725101F3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8C4CAD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20A6E58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DC09887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Predávajúci dodá Kupujúcemu predmet zmluvy takých parametrov, ktoré sú v rozpore s touto zmluvou,</w:t>
      </w:r>
    </w:p>
    <w:p w14:paraId="20A85221" w14:textId="77777777" w:rsidR="00D5473D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1F49E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46382B8" w14:textId="71A51F3F" w:rsidR="00D5473D" w:rsidRPr="00D5473D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 čl. IV</w:t>
      </w:r>
      <w:r w:rsidR="00D5473D" w:rsidRPr="00D5473D">
        <w:rPr>
          <w:rFonts w:ascii="Arial Narrow" w:hAnsi="Arial Narrow"/>
          <w:sz w:val="22"/>
          <w:szCs w:val="22"/>
        </w:rPr>
        <w:t xml:space="preserve"> bod 4.</w:t>
      </w:r>
      <w:r w:rsidR="00112BF0">
        <w:rPr>
          <w:rFonts w:ascii="Arial Narrow" w:hAnsi="Arial Narrow"/>
          <w:sz w:val="22"/>
          <w:szCs w:val="22"/>
          <w:lang w:val="sk-SK"/>
        </w:rPr>
        <w:t>9</w:t>
      </w:r>
      <w:r w:rsidR="00D5473D" w:rsidRPr="00D5473D">
        <w:rPr>
          <w:rFonts w:ascii="Arial Narrow" w:hAnsi="Arial Narrow"/>
          <w:sz w:val="22"/>
          <w:szCs w:val="22"/>
        </w:rPr>
        <w:t>. až 4.1</w:t>
      </w:r>
      <w:r w:rsidR="00C84572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592F4305" w14:textId="77777777" w:rsidR="00860049" w:rsidRPr="007E5974" w:rsidRDefault="00860049" w:rsidP="0086004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052B0D6F" w14:textId="77777777" w:rsidR="00860049" w:rsidRPr="00E53378" w:rsidRDefault="00860049" w:rsidP="0086004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FAEFD0A" w14:textId="77777777" w:rsidR="00860049" w:rsidRPr="007E5974" w:rsidRDefault="00860049" w:rsidP="0086004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72E5ECB" w14:textId="6FAD7E59" w:rsidR="00860049" w:rsidRPr="007E5974" w:rsidRDefault="00860049" w:rsidP="0086004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E53378">
        <w:rPr>
          <w:rFonts w:ascii="Arial Narrow" w:hAnsi="Arial Narrow"/>
          <w:sz w:val="22"/>
          <w:szCs w:val="22"/>
        </w:rPr>
        <w:t>toto konanie a jeho následky v určenej primeranej lehote neodstráni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89A7960" w14:textId="77777777" w:rsidR="00860049" w:rsidRDefault="00860049" w:rsidP="00860049">
      <w:pPr>
        <w:pStyle w:val="Odsekzoznamu"/>
        <w:tabs>
          <w:tab w:val="clear" w:pos="2160"/>
          <w:tab w:val="clear" w:pos="2880"/>
          <w:tab w:val="clear" w:pos="4500"/>
        </w:tabs>
        <w:spacing w:after="6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289AB8AB" w14:textId="08C27A7B" w:rsidR="00FC2417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0CA4835" w14:textId="77777777" w:rsidR="00860049" w:rsidRDefault="00860049" w:rsidP="0086004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  <w:sz w:val="22"/>
          <w:szCs w:val="22"/>
          <w:lang w:val="sk-SK"/>
        </w:rPr>
        <w:t xml:space="preserve">a to najmä </w:t>
      </w: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 vojna, mobilizácia, </w:t>
      </w:r>
      <w:proofErr w:type="spellStart"/>
      <w:r w:rsidRPr="001F49E2">
        <w:rPr>
          <w:rFonts w:ascii="Arial Narrow" w:hAnsi="Arial Narrow" w:cs="Calibri"/>
          <w:sz w:val="22"/>
          <w:szCs w:val="22"/>
          <w:lang w:val="sk-SK"/>
        </w:rPr>
        <w:t>pov</w:t>
      </w:r>
      <w:r w:rsidRPr="001F49E2">
        <w:rPr>
          <w:rFonts w:ascii="Arial Narrow" w:hAnsi="Arial Narrow" w:cs="Calibri"/>
          <w:sz w:val="22"/>
          <w:szCs w:val="22"/>
        </w:rPr>
        <w:t>stanie</w:t>
      </w:r>
      <w:proofErr w:type="spellEnd"/>
      <w:r w:rsidRPr="001F49E2">
        <w:rPr>
          <w:rFonts w:ascii="Arial Narrow" w:hAnsi="Arial Narrow" w:cs="Calibri"/>
          <w:sz w:val="22"/>
          <w:szCs w:val="22"/>
        </w:rPr>
        <w:t xml:space="preserve">, živelné pohromy, požiare, embargo, karantény. Oslobodenie od zodpovednosti za nesplnenie dodania predmetu zmluvy trvá po dobu pôsobenia vyššej moci, najviac však dva mesiace. Po </w:t>
      </w:r>
      <w:r w:rsidRPr="001F49E2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27E17ECD" w14:textId="77777777" w:rsidR="00860049" w:rsidRPr="00930F80" w:rsidRDefault="00860049" w:rsidP="00860049">
      <w:pPr>
        <w:pStyle w:val="Odsekzoznamu"/>
        <w:tabs>
          <w:tab w:val="clear" w:pos="2160"/>
          <w:tab w:val="clear" w:pos="2880"/>
          <w:tab w:val="clear" w:pos="4500"/>
        </w:tabs>
        <w:spacing w:after="6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F79CF93" w14:textId="77777777" w:rsidR="00FC2417" w:rsidRPr="001F49E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  <w:r w:rsidRPr="001F49E2">
        <w:rPr>
          <w:rFonts w:ascii="Arial Narrow" w:hAnsi="Arial Narrow" w:cs="Calibri"/>
          <w:b/>
          <w:sz w:val="22"/>
          <w:szCs w:val="22"/>
        </w:rPr>
        <w:t>Článok X.</w:t>
      </w:r>
    </w:p>
    <w:p w14:paraId="4F1D0554" w14:textId="77777777" w:rsidR="00FC2417" w:rsidRPr="00930F80" w:rsidRDefault="00FC2417" w:rsidP="00154C4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76259EF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320E751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056B876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9EF5CE3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CB4F07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 xml:space="preserve">Akákoľvek písomnosť alebo iné správy, ktoré sa doručujú v súvislosti s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48A37BDC" w14:textId="77777777" w:rsidR="00FC2417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2D3893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8445BE6" w14:textId="77777777" w:rsidR="00FC2417" w:rsidRPr="00110388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01865AA1" w14:textId="77777777" w:rsidR="00FC2417" w:rsidRPr="006E6235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</w:rPr>
      </w:pPr>
      <w:r w:rsidRPr="006E6235">
        <w:rPr>
          <w:rFonts w:ascii="Arial Narrow" w:hAnsi="Arial Narrow"/>
          <w:i/>
        </w:rPr>
        <w:t>Kupujúci</w:t>
      </w:r>
    </w:p>
    <w:p w14:paraId="1A4F7E53" w14:textId="77777777" w:rsidR="00E1263A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</w:p>
    <w:p w14:paraId="76ADF397" w14:textId="77777777" w:rsidR="00E1263A" w:rsidRPr="001D0C05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A66F177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2A4A1901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77AE0CBB" w14:textId="77777777" w:rsidR="008C46BC" w:rsidRPr="00930F80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>k rukám:</w:t>
      </w:r>
      <w:r w:rsidR="008C46BC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8C46BC" w:rsidRPr="00485F33">
        <w:rPr>
          <w:rFonts w:ascii="Arial Narrow" w:hAnsi="Arial Narrow"/>
          <w:highlight w:val="yellow"/>
        </w:rPr>
        <w:t>xxxxxxxxxxxxxxxxxx</w:t>
      </w:r>
      <w:proofErr w:type="spellEnd"/>
      <w:r w:rsidR="008C46BC" w:rsidRPr="00930F80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ab/>
      </w:r>
    </w:p>
    <w:p w14:paraId="6B2B6C2D" w14:textId="77777777" w:rsidR="008C46B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7BE1D921" w14:textId="77777777" w:rsidR="00FC2417" w:rsidRPr="00930F80" w:rsidRDefault="00FC2417" w:rsidP="008C46BC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930F80">
        <w:rPr>
          <w:rFonts w:ascii="Arial Narrow" w:hAnsi="Arial Narrow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253BEA7" w14:textId="77777777" w:rsidR="00FC2417" w:rsidRPr="006E6235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6E6235">
        <w:rPr>
          <w:rFonts w:ascii="Arial Narrow" w:hAnsi="Arial Narrow"/>
          <w:i/>
          <w:sz w:val="22"/>
          <w:szCs w:val="22"/>
          <w:lang w:val="sk-SK" w:eastAsia="en-GB"/>
        </w:rPr>
        <w:tab/>
      </w:r>
      <w:r w:rsidR="00FC2417" w:rsidRPr="006E6235">
        <w:rPr>
          <w:rFonts w:ascii="Arial Narrow" w:hAnsi="Arial Narrow"/>
          <w:i/>
          <w:sz w:val="22"/>
          <w:szCs w:val="22"/>
          <w:lang w:val="sk-SK" w:eastAsia="en-GB"/>
        </w:rPr>
        <w:t xml:space="preserve">Predávajúci: </w:t>
      </w:r>
    </w:p>
    <w:p w14:paraId="01C5C34B" w14:textId="77777777" w:rsidR="00485F33" w:rsidRPr="00485F33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AE1D7AF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51C1A55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022B23D9" w14:textId="77777777" w:rsidR="00485F33" w:rsidRPr="00930F80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4C0ADDB3" w14:textId="77777777" w:rsidR="00110388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57E7F9C4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965A798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BDB78C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DB5BFE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090486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 xml:space="preserve">písomný 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a očíslovaný </w:t>
      </w:r>
      <w:r w:rsidR="002A05ED" w:rsidRPr="00110388">
        <w:rPr>
          <w:rFonts w:ascii="Arial Narrow" w:hAnsi="Arial Narrow"/>
          <w:sz w:val="22"/>
          <w:szCs w:val="22"/>
        </w:rPr>
        <w:t>dodatok k tejto zmluve.</w:t>
      </w:r>
    </w:p>
    <w:p w14:paraId="3A3578F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06DAF3D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7AE8757F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2F08E22" w14:textId="77777777" w:rsidR="00FC2417" w:rsidRPr="00386FA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lastRenderedPageBreak/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899814" w14:textId="77777777" w:rsidR="00FC2417" w:rsidRPr="0059331A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183B592B" w14:textId="6964377B" w:rsidR="0059331A" w:rsidRPr="004F5455" w:rsidRDefault="0059331A" w:rsidP="004F5455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37D8978B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0B3A8FEF" w14:textId="77777777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60B06E88" w14:textId="77777777" w:rsidR="00386FA2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14:paraId="6B8D45C6" w14:textId="77777777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25BAAC20" w14:textId="77777777" w:rsidR="00BA2865" w:rsidRPr="00386FA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056A1062" w14:textId="77777777" w:rsidR="00FC2417" w:rsidRPr="00701D18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1034163" w14:textId="64083460" w:rsidR="00FC2417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E107A9">
        <w:rPr>
          <w:rFonts w:ascii="Arial Narrow" w:hAnsi="Arial Narrow"/>
          <w:sz w:val="22"/>
          <w:szCs w:val="22"/>
        </w:rPr>
        <w:t xml:space="preserve"> 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 w:rsidR="00FC2417" w:rsidRPr="00701D18">
        <w:rPr>
          <w:rFonts w:ascii="Arial Narrow" w:hAnsi="Arial Narrow"/>
          <w:sz w:val="22"/>
          <w:szCs w:val="22"/>
        </w:rPr>
        <w:t> 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04F05F3D" w14:textId="77777777" w:rsidR="00FC2417" w:rsidRPr="00930F80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14826CB2" w14:textId="77777777" w:rsidR="00FC2417" w:rsidRPr="00930F80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6056F6">
        <w:rPr>
          <w:rFonts w:ascii="Arial Narrow" w:hAnsi="Arial Narrow"/>
          <w:sz w:val="22"/>
          <w:szCs w:val="22"/>
        </w:rPr>
        <w:t>Za Kupujúceho:</w:t>
      </w:r>
      <w:r w:rsidR="006056F6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6056F6">
        <w:rPr>
          <w:rFonts w:ascii="Arial Narrow" w:hAnsi="Arial Narrow"/>
          <w:sz w:val="22"/>
          <w:szCs w:val="22"/>
        </w:rPr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4BFEBD81" w14:textId="77777777" w:rsidR="003D1B32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sectPr w:rsidR="003D1B32" w:rsidRPr="00930F80" w:rsidSect="006E6235">
      <w:headerReference w:type="default" r:id="rId8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702A" w14:textId="77777777" w:rsidR="00DC08F6" w:rsidRDefault="00DC08F6" w:rsidP="006E6235">
      <w:r>
        <w:separator/>
      </w:r>
    </w:p>
  </w:endnote>
  <w:endnote w:type="continuationSeparator" w:id="0">
    <w:p w14:paraId="2C8A4D3C" w14:textId="77777777" w:rsidR="00DC08F6" w:rsidRDefault="00DC08F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98EAE" w14:textId="77777777" w:rsidR="00DC08F6" w:rsidRDefault="00DC08F6" w:rsidP="006E6235">
      <w:r>
        <w:separator/>
      </w:r>
    </w:p>
  </w:footnote>
  <w:footnote w:type="continuationSeparator" w:id="0">
    <w:p w14:paraId="79F4D6F1" w14:textId="77777777" w:rsidR="00DC08F6" w:rsidRDefault="00DC08F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CFC2" w14:textId="575E96A2" w:rsidR="002C3622" w:rsidRDefault="002C3622" w:rsidP="002C362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76C3F6DA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A3B7ACC"/>
    <w:multiLevelType w:val="multilevel"/>
    <w:tmpl w:val="54EC36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</w:num>
  <w:num w:numId="5">
    <w:abstractNumId w:val="27"/>
  </w:num>
  <w:num w:numId="6">
    <w:abstractNumId w:val="5"/>
  </w:num>
  <w:num w:numId="7">
    <w:abstractNumId w:val="14"/>
  </w:num>
  <w:num w:numId="8">
    <w:abstractNumId w:val="21"/>
  </w:num>
  <w:num w:numId="9">
    <w:abstractNumId w:val="24"/>
  </w:num>
  <w:num w:numId="10">
    <w:abstractNumId w:val="15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3"/>
  </w:num>
  <w:num w:numId="26">
    <w:abstractNumId w:val="4"/>
  </w:num>
  <w:num w:numId="27">
    <w:abstractNumId w:val="25"/>
  </w:num>
  <w:num w:numId="28">
    <w:abstractNumId w:val="28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2"/>
  </w:num>
  <w:num w:numId="33">
    <w:abstractNumId w:val="8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67C"/>
    <w:rsid w:val="000169E9"/>
    <w:rsid w:val="000173AD"/>
    <w:rsid w:val="00022909"/>
    <w:rsid w:val="00094AC0"/>
    <w:rsid w:val="000A644D"/>
    <w:rsid w:val="000B3AA8"/>
    <w:rsid w:val="000E2F2D"/>
    <w:rsid w:val="000E63B6"/>
    <w:rsid w:val="000F28BD"/>
    <w:rsid w:val="001005FA"/>
    <w:rsid w:val="001035E7"/>
    <w:rsid w:val="00110388"/>
    <w:rsid w:val="00112BF0"/>
    <w:rsid w:val="00144AD6"/>
    <w:rsid w:val="00153E4C"/>
    <w:rsid w:val="00154C42"/>
    <w:rsid w:val="00187522"/>
    <w:rsid w:val="0019197B"/>
    <w:rsid w:val="001A1D1B"/>
    <w:rsid w:val="001B01D3"/>
    <w:rsid w:val="001B5406"/>
    <w:rsid w:val="001F49E2"/>
    <w:rsid w:val="00236593"/>
    <w:rsid w:val="002761BF"/>
    <w:rsid w:val="00287E51"/>
    <w:rsid w:val="002A05ED"/>
    <w:rsid w:val="002B3C9A"/>
    <w:rsid w:val="002C3622"/>
    <w:rsid w:val="002E2C9D"/>
    <w:rsid w:val="00302535"/>
    <w:rsid w:val="003148C1"/>
    <w:rsid w:val="00341F9D"/>
    <w:rsid w:val="0034246B"/>
    <w:rsid w:val="00363E6B"/>
    <w:rsid w:val="00386FA2"/>
    <w:rsid w:val="003B06AC"/>
    <w:rsid w:val="003B3590"/>
    <w:rsid w:val="003B3DFB"/>
    <w:rsid w:val="003D0DA0"/>
    <w:rsid w:val="003D1B32"/>
    <w:rsid w:val="003D2F55"/>
    <w:rsid w:val="003D7909"/>
    <w:rsid w:val="004003BF"/>
    <w:rsid w:val="004051D1"/>
    <w:rsid w:val="004135CF"/>
    <w:rsid w:val="004314B0"/>
    <w:rsid w:val="0043329B"/>
    <w:rsid w:val="00434FBA"/>
    <w:rsid w:val="00437AA6"/>
    <w:rsid w:val="00440497"/>
    <w:rsid w:val="004719DF"/>
    <w:rsid w:val="004738F4"/>
    <w:rsid w:val="004819EC"/>
    <w:rsid w:val="00485F33"/>
    <w:rsid w:val="004A7D9A"/>
    <w:rsid w:val="004C286C"/>
    <w:rsid w:val="004D37DE"/>
    <w:rsid w:val="004F1B98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54EC0"/>
    <w:rsid w:val="00565125"/>
    <w:rsid w:val="00582DCF"/>
    <w:rsid w:val="0059331A"/>
    <w:rsid w:val="005C47AE"/>
    <w:rsid w:val="005D3485"/>
    <w:rsid w:val="005D55E8"/>
    <w:rsid w:val="005D5AE3"/>
    <w:rsid w:val="005F0DEE"/>
    <w:rsid w:val="006056F6"/>
    <w:rsid w:val="00610CB1"/>
    <w:rsid w:val="00613A8C"/>
    <w:rsid w:val="006208A8"/>
    <w:rsid w:val="00621B8E"/>
    <w:rsid w:val="00631784"/>
    <w:rsid w:val="00641960"/>
    <w:rsid w:val="006459FE"/>
    <w:rsid w:val="006710D7"/>
    <w:rsid w:val="00675C28"/>
    <w:rsid w:val="00680DCA"/>
    <w:rsid w:val="00693E11"/>
    <w:rsid w:val="006B19B5"/>
    <w:rsid w:val="006C25A5"/>
    <w:rsid w:val="006C30F1"/>
    <w:rsid w:val="006E6235"/>
    <w:rsid w:val="006E757E"/>
    <w:rsid w:val="006F1081"/>
    <w:rsid w:val="00701D18"/>
    <w:rsid w:val="00704F9D"/>
    <w:rsid w:val="00706452"/>
    <w:rsid w:val="007301F2"/>
    <w:rsid w:val="00734EA2"/>
    <w:rsid w:val="00737FAA"/>
    <w:rsid w:val="00746C95"/>
    <w:rsid w:val="0077096A"/>
    <w:rsid w:val="00772FCE"/>
    <w:rsid w:val="007B453C"/>
    <w:rsid w:val="007C7F2F"/>
    <w:rsid w:val="007E2863"/>
    <w:rsid w:val="007F32BF"/>
    <w:rsid w:val="008453DC"/>
    <w:rsid w:val="00860049"/>
    <w:rsid w:val="00866950"/>
    <w:rsid w:val="008808C4"/>
    <w:rsid w:val="008A2A3D"/>
    <w:rsid w:val="008A3759"/>
    <w:rsid w:val="008B250C"/>
    <w:rsid w:val="008C420E"/>
    <w:rsid w:val="008C46BC"/>
    <w:rsid w:val="008E1AA4"/>
    <w:rsid w:val="008E5017"/>
    <w:rsid w:val="0091435F"/>
    <w:rsid w:val="0092116C"/>
    <w:rsid w:val="00927D89"/>
    <w:rsid w:val="00930F80"/>
    <w:rsid w:val="00945EA5"/>
    <w:rsid w:val="00964845"/>
    <w:rsid w:val="00970C2D"/>
    <w:rsid w:val="00973437"/>
    <w:rsid w:val="00993A75"/>
    <w:rsid w:val="009B2474"/>
    <w:rsid w:val="009D4970"/>
    <w:rsid w:val="009E5D1A"/>
    <w:rsid w:val="00A04F38"/>
    <w:rsid w:val="00A23C81"/>
    <w:rsid w:val="00A500AC"/>
    <w:rsid w:val="00A82F42"/>
    <w:rsid w:val="00AA5611"/>
    <w:rsid w:val="00AC37B3"/>
    <w:rsid w:val="00AC67C2"/>
    <w:rsid w:val="00AD44DF"/>
    <w:rsid w:val="00B104DE"/>
    <w:rsid w:val="00B60143"/>
    <w:rsid w:val="00BA2865"/>
    <w:rsid w:val="00BB427D"/>
    <w:rsid w:val="00BF0AE1"/>
    <w:rsid w:val="00C1403F"/>
    <w:rsid w:val="00C61439"/>
    <w:rsid w:val="00C84572"/>
    <w:rsid w:val="00C85957"/>
    <w:rsid w:val="00C8652A"/>
    <w:rsid w:val="00CA1ED4"/>
    <w:rsid w:val="00CE13E9"/>
    <w:rsid w:val="00CE59A5"/>
    <w:rsid w:val="00D30E36"/>
    <w:rsid w:val="00D5473D"/>
    <w:rsid w:val="00D705FC"/>
    <w:rsid w:val="00D73D13"/>
    <w:rsid w:val="00D92443"/>
    <w:rsid w:val="00DA05EA"/>
    <w:rsid w:val="00DA7BC4"/>
    <w:rsid w:val="00DB27EC"/>
    <w:rsid w:val="00DB4DE5"/>
    <w:rsid w:val="00DB4E19"/>
    <w:rsid w:val="00DC08F6"/>
    <w:rsid w:val="00DE521C"/>
    <w:rsid w:val="00DE6451"/>
    <w:rsid w:val="00E05266"/>
    <w:rsid w:val="00E107A9"/>
    <w:rsid w:val="00E1263A"/>
    <w:rsid w:val="00E23293"/>
    <w:rsid w:val="00E31A2F"/>
    <w:rsid w:val="00E32E21"/>
    <w:rsid w:val="00E35E2A"/>
    <w:rsid w:val="00E42552"/>
    <w:rsid w:val="00E433D6"/>
    <w:rsid w:val="00E53022"/>
    <w:rsid w:val="00E7246A"/>
    <w:rsid w:val="00EA1188"/>
    <w:rsid w:val="00EC5B77"/>
    <w:rsid w:val="00ED0EB6"/>
    <w:rsid w:val="00ED5093"/>
    <w:rsid w:val="00ED72DF"/>
    <w:rsid w:val="00EF0B84"/>
    <w:rsid w:val="00F0274A"/>
    <w:rsid w:val="00F167DD"/>
    <w:rsid w:val="00F31467"/>
    <w:rsid w:val="00F325DC"/>
    <w:rsid w:val="00F432CD"/>
    <w:rsid w:val="00F50D9F"/>
    <w:rsid w:val="00F825A4"/>
    <w:rsid w:val="00FA2A04"/>
    <w:rsid w:val="00FC2417"/>
    <w:rsid w:val="00FC68E9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F5B"/>
  <w15:chartTrackingRefBased/>
  <w15:docId w15:val="{E9D8A376-29E7-43E5-BF80-69C62C8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7693-DD8F-4F2E-AB45-1B809D0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3022</Words>
  <Characters>17226</Characters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2021-01-13T12:45:00Z</cp:lastPrinted>
  <dcterms:created xsi:type="dcterms:W3CDTF">2021-01-27T13:15:00Z</dcterms:created>
  <dcterms:modified xsi:type="dcterms:W3CDTF">2021-02-01T11:46:00Z</dcterms:modified>
</cp:coreProperties>
</file>