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440842F4" w:rsidR="005D7EAE" w:rsidRPr="00494033" w:rsidRDefault="00FA793F" w:rsidP="00494033">
      <w:pPr>
        <w:widowControl/>
        <w:adjustRightInd w:val="0"/>
        <w:jc w:val="center"/>
        <w:rPr>
          <w:rFonts w:ascii="Arial" w:eastAsiaTheme="minorHAnsi" w:hAnsi="Arial" w:cs="Arial"/>
          <w:b/>
          <w:i/>
          <w:iCs/>
          <w:sz w:val="32"/>
          <w:szCs w:val="32"/>
          <w:lang w:val="sk-SK" w:eastAsia="en-US"/>
        </w:rPr>
      </w:pPr>
      <w:r w:rsidRPr="00494033">
        <w:rPr>
          <w:rFonts w:ascii="Arial" w:hAnsi="Arial" w:cs="Arial"/>
          <w:b/>
          <w:i/>
          <w:iCs/>
          <w:sz w:val="32"/>
          <w:szCs w:val="32"/>
        </w:rPr>
        <w:t>„</w:t>
      </w:r>
      <w:r w:rsidR="00494033" w:rsidRPr="00494033">
        <w:rPr>
          <w:rFonts w:ascii="Arial" w:eastAsiaTheme="minorHAnsi" w:hAnsi="Arial" w:cs="Arial"/>
          <w:b/>
          <w:sz w:val="32"/>
          <w:szCs w:val="32"/>
          <w:lang w:val="sk-SK" w:eastAsia="en-US"/>
        </w:rPr>
        <w:t>Prešov - Nižná Šebastová, Pánska záhrada</w:t>
      </w:r>
      <w:r w:rsidRPr="00494033">
        <w:rPr>
          <w:rFonts w:ascii="Arial" w:hAnsi="Arial" w:cs="Arial"/>
          <w:b/>
          <w:i/>
          <w:iCs/>
          <w:sz w:val="32"/>
          <w:szCs w:val="32"/>
        </w:rPr>
        <w:t>“</w:t>
      </w:r>
    </w:p>
    <w:p w14:paraId="6F5B550C" w14:textId="32ABF258" w:rsidR="00494033" w:rsidRPr="00494033" w:rsidRDefault="00494033" w:rsidP="00494033">
      <w:pPr>
        <w:widowControl/>
        <w:adjustRightInd w:val="0"/>
        <w:jc w:val="center"/>
        <w:rPr>
          <w:rFonts w:ascii="Arial" w:eastAsiaTheme="minorHAnsi" w:hAnsi="Arial" w:cs="Arial"/>
          <w:sz w:val="24"/>
          <w:szCs w:val="24"/>
          <w:lang w:val="sk-SK" w:eastAsia="en-US"/>
        </w:rPr>
      </w:pPr>
      <w:r w:rsidRPr="00494033">
        <w:rPr>
          <w:rFonts w:ascii="Arial" w:eastAsiaTheme="minorHAnsi" w:hAnsi="Arial" w:cs="Arial"/>
          <w:sz w:val="24"/>
          <w:szCs w:val="24"/>
          <w:lang w:val="sk-SK" w:eastAsia="en-US"/>
        </w:rPr>
        <w:t>Vestník č. 82/2022 - 01.04.2022 pod č. 18239 - WYP</w:t>
      </w:r>
    </w:p>
    <w:p w14:paraId="1F74DAA6" w14:textId="1DDAA59F" w:rsidR="005D7EAE" w:rsidRPr="00112B41" w:rsidRDefault="005D7EAE" w:rsidP="00494033">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0F0FAFE3" w:rsidR="00CD32F9" w:rsidRDefault="00CD32F9" w:rsidP="00583F00">
      <w:pPr>
        <w:rPr>
          <w:rFonts w:ascii="Arial" w:hAnsi="Arial" w:cs="Arial"/>
          <w:b/>
          <w:bCs/>
        </w:rPr>
      </w:pPr>
    </w:p>
    <w:p w14:paraId="67DB580D" w14:textId="77777777" w:rsidR="00494033" w:rsidRDefault="00494033" w:rsidP="00583F00">
      <w:pPr>
        <w:rPr>
          <w:rFonts w:ascii="Arial" w:hAnsi="Arial" w:cs="Arial"/>
          <w:b/>
          <w:bCs/>
        </w:rPr>
      </w:pPr>
    </w:p>
    <w:p w14:paraId="0A7A243D" w14:textId="77777777" w:rsidR="00CD32F9" w:rsidRDefault="00CD32F9" w:rsidP="00583F00">
      <w:pPr>
        <w:rPr>
          <w:rFonts w:ascii="Arial" w:hAnsi="Arial" w:cs="Arial"/>
          <w:b/>
          <w:bCs/>
        </w:rPr>
      </w:pPr>
    </w:p>
    <w:p w14:paraId="5A329DE9" w14:textId="77777777" w:rsidR="00494033" w:rsidRPr="00CD32F9" w:rsidRDefault="00494033" w:rsidP="00494033">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62E0CE15" w14:textId="77777777" w:rsidR="00494033" w:rsidRPr="00CD32F9" w:rsidRDefault="00494033" w:rsidP="00494033">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654EDEAF" w14:textId="1A6E575D" w:rsidR="00494033" w:rsidRPr="00494033" w:rsidRDefault="00494033" w:rsidP="00494033">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494033" w:rsidRPr="00F574E4" w14:paraId="723C157F" w14:textId="77777777" w:rsidTr="00494033">
        <w:trPr>
          <w:trHeight w:val="265"/>
        </w:trPr>
        <w:tc>
          <w:tcPr>
            <w:tcW w:w="2826" w:type="dxa"/>
          </w:tcPr>
          <w:p w14:paraId="664E7B9E" w14:textId="77777777" w:rsidR="00494033" w:rsidRPr="00494033" w:rsidRDefault="00494033" w:rsidP="00494033">
            <w:pPr>
              <w:spacing w:line="264" w:lineRule="exact"/>
              <w:ind w:left="345" w:right="45" w:hanging="345"/>
              <w:rPr>
                <w:rFonts w:asciiTheme="minorHAnsi" w:hAnsiTheme="minorHAnsi" w:cstheme="minorHAnsi"/>
              </w:rPr>
            </w:pPr>
            <w:r w:rsidRPr="00494033">
              <w:rPr>
                <w:rFonts w:asciiTheme="minorHAnsi" w:hAnsiTheme="minorHAnsi" w:cstheme="minorHAnsi"/>
              </w:rPr>
              <w:t>Názov:</w:t>
            </w:r>
          </w:p>
        </w:tc>
        <w:tc>
          <w:tcPr>
            <w:tcW w:w="6293" w:type="dxa"/>
          </w:tcPr>
          <w:p w14:paraId="6BE95A5A" w14:textId="77777777" w:rsidR="00494033" w:rsidRPr="00B37341" w:rsidRDefault="00494033" w:rsidP="00E61102">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Mesto Prešov</w:t>
            </w:r>
          </w:p>
        </w:tc>
      </w:tr>
      <w:tr w:rsidR="00494033" w:rsidRPr="00F574E4" w14:paraId="2784813A" w14:textId="77777777" w:rsidTr="00494033">
        <w:trPr>
          <w:trHeight w:val="303"/>
        </w:trPr>
        <w:tc>
          <w:tcPr>
            <w:tcW w:w="2826" w:type="dxa"/>
          </w:tcPr>
          <w:p w14:paraId="06118B12" w14:textId="77777777" w:rsidR="00494033" w:rsidRPr="00B37341" w:rsidRDefault="00494033" w:rsidP="00494033">
            <w:pPr>
              <w:spacing w:line="264" w:lineRule="exact"/>
              <w:ind w:right="45"/>
              <w:rPr>
                <w:rFonts w:asciiTheme="minorHAnsi" w:hAnsiTheme="minorHAnsi" w:cstheme="minorHAnsi"/>
              </w:rPr>
            </w:pPr>
            <w:r w:rsidRPr="00B37341">
              <w:rPr>
                <w:rFonts w:asciiTheme="minorHAnsi" w:hAnsiTheme="minorHAnsi" w:cstheme="minorHAnsi"/>
              </w:rPr>
              <w:t>Sídlo:</w:t>
            </w:r>
          </w:p>
        </w:tc>
        <w:tc>
          <w:tcPr>
            <w:tcW w:w="6293" w:type="dxa"/>
          </w:tcPr>
          <w:p w14:paraId="6A10F499"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Hlavná 73, 080 01 Prešov</w:t>
            </w:r>
          </w:p>
        </w:tc>
      </w:tr>
      <w:tr w:rsidR="00494033" w:rsidRPr="00F574E4" w14:paraId="6972DFB6" w14:textId="77777777" w:rsidTr="00494033">
        <w:trPr>
          <w:trHeight w:val="327"/>
        </w:trPr>
        <w:tc>
          <w:tcPr>
            <w:tcW w:w="2826" w:type="dxa"/>
          </w:tcPr>
          <w:p w14:paraId="215E5A46"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IČO:</w:t>
            </w:r>
          </w:p>
        </w:tc>
        <w:tc>
          <w:tcPr>
            <w:tcW w:w="6293" w:type="dxa"/>
          </w:tcPr>
          <w:p w14:paraId="3BB9FEDB"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00327646</w:t>
            </w:r>
          </w:p>
        </w:tc>
      </w:tr>
      <w:tr w:rsidR="00494033" w:rsidRPr="00F574E4" w14:paraId="66BBB2D0" w14:textId="77777777" w:rsidTr="00494033">
        <w:trPr>
          <w:trHeight w:val="312"/>
        </w:trPr>
        <w:tc>
          <w:tcPr>
            <w:tcW w:w="2826" w:type="dxa"/>
          </w:tcPr>
          <w:p w14:paraId="76FD463F"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Zastúpený:</w:t>
            </w:r>
          </w:p>
        </w:tc>
        <w:tc>
          <w:tcPr>
            <w:tcW w:w="6293" w:type="dxa"/>
          </w:tcPr>
          <w:p w14:paraId="6D7CC5C3"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Ing. Andrea Turčanová, primátorka mesta</w:t>
            </w:r>
          </w:p>
        </w:tc>
      </w:tr>
      <w:tr w:rsidR="00494033" w:rsidRPr="00F574E4" w14:paraId="414F4658" w14:textId="77777777" w:rsidTr="00494033">
        <w:trPr>
          <w:trHeight w:val="544"/>
        </w:trPr>
        <w:tc>
          <w:tcPr>
            <w:tcW w:w="2826" w:type="dxa"/>
          </w:tcPr>
          <w:p w14:paraId="49C7C1D5"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Adresa profilu verejného obstarávateľa /URL/:</w:t>
            </w:r>
          </w:p>
          <w:p w14:paraId="0F63F447" w14:textId="77777777" w:rsidR="00494033" w:rsidRPr="00B37341" w:rsidRDefault="00494033" w:rsidP="00494033">
            <w:pPr>
              <w:spacing w:line="264" w:lineRule="exact"/>
              <w:ind w:left="-1" w:right="45"/>
              <w:rPr>
                <w:rFonts w:asciiTheme="minorHAnsi" w:hAnsiTheme="minorHAnsi" w:cstheme="minorHAnsi"/>
              </w:rPr>
            </w:pPr>
          </w:p>
        </w:tc>
        <w:tc>
          <w:tcPr>
            <w:tcW w:w="6293" w:type="dxa"/>
          </w:tcPr>
          <w:p w14:paraId="089F10DA" w14:textId="77777777" w:rsidR="00494033" w:rsidRPr="00B37341" w:rsidRDefault="00494033" w:rsidP="00E61102">
            <w:pPr>
              <w:spacing w:line="264" w:lineRule="exact"/>
              <w:ind w:left="206" w:right="45"/>
              <w:rPr>
                <w:rFonts w:asciiTheme="minorHAnsi" w:hAnsiTheme="minorHAnsi" w:cstheme="minorHAnsi"/>
              </w:rPr>
            </w:pPr>
          </w:p>
          <w:p w14:paraId="5956327E" w14:textId="77777777" w:rsidR="00494033" w:rsidRPr="00B37341" w:rsidRDefault="006862A6" w:rsidP="00E61102">
            <w:pPr>
              <w:spacing w:line="264" w:lineRule="exact"/>
              <w:ind w:left="206" w:right="45"/>
              <w:rPr>
                <w:rFonts w:asciiTheme="minorHAnsi" w:hAnsiTheme="minorHAnsi" w:cstheme="minorHAnsi"/>
              </w:rPr>
            </w:pPr>
            <w:hyperlink r:id="rId9" w:history="1">
              <w:r w:rsidR="00494033" w:rsidRPr="00B37341">
                <w:rPr>
                  <w:rStyle w:val="Hypertextovprepojenie"/>
                  <w:rFonts w:asciiTheme="minorHAnsi" w:hAnsiTheme="minorHAnsi" w:cstheme="minorHAnsi"/>
                </w:rPr>
                <w:t>https://www.uvo.gov.sk/vyhladavanie-profilov/zakazky/5963</w:t>
              </w:r>
            </w:hyperlink>
          </w:p>
          <w:p w14:paraId="5ADBE78F" w14:textId="77777777" w:rsidR="00494033" w:rsidRPr="00B37341" w:rsidRDefault="00494033" w:rsidP="00E61102">
            <w:pPr>
              <w:spacing w:line="264" w:lineRule="exact"/>
              <w:ind w:left="206" w:right="45"/>
              <w:rPr>
                <w:rFonts w:asciiTheme="minorHAnsi" w:hAnsiTheme="minorHAnsi" w:cstheme="minorHAnsi"/>
              </w:rPr>
            </w:pPr>
          </w:p>
        </w:tc>
      </w:tr>
    </w:tbl>
    <w:p w14:paraId="194A7F4E" w14:textId="77777777" w:rsidR="00494033" w:rsidRPr="00F574E4" w:rsidRDefault="00494033" w:rsidP="00494033">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FBB17CB" w:rsidR="00C137C4" w:rsidRPr="00494033"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494033">
        <w:rPr>
          <w:rFonts w:asciiTheme="minorHAnsi" w:hAnsiTheme="minorHAnsi" w:cstheme="minorHAnsi"/>
          <w:i w:val="0"/>
          <w:color w:val="000000" w:themeColor="text1"/>
          <w:sz w:val="22"/>
          <w:szCs w:val="22"/>
        </w:rPr>
        <w:t>„</w:t>
      </w:r>
      <w:r w:rsidR="00494033" w:rsidRPr="00494033">
        <w:rPr>
          <w:rFonts w:asciiTheme="minorHAnsi" w:eastAsiaTheme="minorHAnsi" w:hAnsiTheme="minorHAnsi" w:cstheme="minorHAnsi"/>
          <w:i w:val="0"/>
          <w:sz w:val="22"/>
          <w:szCs w:val="22"/>
          <w:lang w:val="sk-SK" w:eastAsia="en-US"/>
        </w:rPr>
        <w:t>Prešov - Nižná Šebastová, Pánska záhrada</w:t>
      </w:r>
      <w:r w:rsidR="00C137C4" w:rsidRPr="00494033">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970740" w:rsidRDefault="00796CD4" w:rsidP="00413D56">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00CA7708" w:rsidRPr="00970740">
        <w:rPr>
          <w:rFonts w:asciiTheme="minorHAnsi" w:hAnsiTheme="minorHAnsi" w:cstheme="minorHAnsi"/>
          <w:sz w:val="22"/>
          <w:szCs w:val="22"/>
        </w:rPr>
        <w:t>45000000-7</w:t>
      </w:r>
    </w:p>
    <w:p w14:paraId="706B04C6" w14:textId="44ECBC7B" w:rsidR="003907E3" w:rsidRPr="00970740" w:rsidRDefault="00970740" w:rsidP="00970740">
      <w:pPr>
        <w:widowControl/>
        <w:adjustRightInd w:val="0"/>
        <w:ind w:left="131" w:firstLine="720"/>
        <w:rPr>
          <w:rFonts w:asciiTheme="minorHAnsi" w:hAnsiTheme="minorHAnsi" w:cstheme="minorHAnsi"/>
          <w:b/>
          <w:bCs/>
        </w:rPr>
      </w:pPr>
      <w:r w:rsidRPr="00970740">
        <w:rPr>
          <w:rFonts w:asciiTheme="minorHAnsi" w:eastAsiaTheme="minorHAnsi" w:hAnsiTheme="minorHAnsi" w:cstheme="minorHAnsi"/>
          <w:b/>
          <w:bCs/>
          <w:lang w:val="sk-SK" w:eastAsia="en-US"/>
        </w:rPr>
        <w:t xml:space="preserve">Dodatočné kódy CPV: </w:t>
      </w:r>
      <w:r w:rsidR="00494033">
        <w:rPr>
          <w:rFonts w:asciiTheme="minorHAnsi" w:eastAsiaTheme="minorHAnsi" w:hAnsiTheme="minorHAnsi" w:cstheme="minorHAnsi"/>
          <w:lang w:val="sk-SK" w:eastAsia="en-US"/>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2D954ECA" w:rsidR="00C137C4" w:rsidRPr="00494033" w:rsidRDefault="00FA793F" w:rsidP="00632BB4">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Miesto alebo miesta dodania predmetu zákazky:</w:t>
      </w:r>
      <w:r w:rsidRPr="00494033">
        <w:rPr>
          <w:rFonts w:asciiTheme="minorHAnsi" w:hAnsiTheme="minorHAnsi" w:cstheme="minorHAnsi"/>
          <w:spacing w:val="12"/>
        </w:rPr>
        <w:t xml:space="preserve"> </w:t>
      </w:r>
    </w:p>
    <w:p w14:paraId="53FC597F" w14:textId="0F568CF5" w:rsidR="00494033" w:rsidRPr="00494033" w:rsidRDefault="00494033" w:rsidP="00494033">
      <w:pPr>
        <w:pStyle w:val="Odsekzoznamu"/>
        <w:widowControl/>
        <w:adjustRightInd w:val="0"/>
        <w:ind w:left="876"/>
        <w:rPr>
          <w:rFonts w:asciiTheme="minorHAnsi" w:eastAsiaTheme="minorHAnsi" w:hAnsiTheme="minorHAnsi" w:cstheme="minorHAnsi"/>
          <w:lang w:val="sk-SK" w:eastAsia="en-US"/>
        </w:rPr>
      </w:pPr>
      <w:r w:rsidRPr="00494033">
        <w:rPr>
          <w:rFonts w:asciiTheme="minorHAnsi" w:eastAsiaTheme="minorHAnsi" w:hAnsiTheme="minorHAnsi" w:cstheme="minorHAnsi"/>
          <w:lang w:val="sk-SK" w:eastAsia="en-US"/>
        </w:rPr>
        <w:t>Realizácia bude na pozemkoch KN-C 1026, KN-C 3343, KN-C 3344, KN-C 1032, ktoré sú vo vlastníctve mesta Prešov. Číslo LV je 1192.</w:t>
      </w:r>
    </w:p>
    <w:p w14:paraId="31973884" w14:textId="77777777" w:rsidR="005652E5" w:rsidRPr="00494033"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494033">
        <w:rPr>
          <w:rFonts w:asciiTheme="minorHAnsi" w:hAnsiTheme="minorHAnsi" w:cstheme="minorHAnsi"/>
        </w:rPr>
        <w:t>Dĺžka trvania – lehota</w:t>
      </w:r>
      <w:r w:rsidRPr="00494033">
        <w:rPr>
          <w:rFonts w:asciiTheme="minorHAnsi" w:hAnsiTheme="minorHAnsi" w:cstheme="minorHAnsi"/>
          <w:spacing w:val="-8"/>
        </w:rPr>
        <w:t xml:space="preserve"> </w:t>
      </w:r>
      <w:r w:rsidRPr="00494033">
        <w:rPr>
          <w:rFonts w:asciiTheme="minorHAnsi" w:hAnsiTheme="minorHAnsi" w:cstheme="minorHAnsi"/>
        </w:rPr>
        <w:t>trvania</w:t>
      </w:r>
      <w:r w:rsidRPr="00494033">
        <w:rPr>
          <w:rFonts w:asciiTheme="minorHAnsi" w:hAnsiTheme="minorHAnsi" w:cstheme="minorHAnsi"/>
          <w:spacing w:val="-1"/>
        </w:rPr>
        <w:t xml:space="preserve"> </w:t>
      </w:r>
      <w:r w:rsidRPr="00494033">
        <w:rPr>
          <w:rFonts w:asciiTheme="minorHAnsi" w:hAnsiTheme="minorHAnsi" w:cstheme="minorHAnsi"/>
        </w:rPr>
        <w:t>Zmluvy:</w:t>
      </w:r>
      <w:r w:rsidRPr="00494033">
        <w:rPr>
          <w:rFonts w:asciiTheme="minorHAnsi" w:hAnsiTheme="minorHAnsi" w:cstheme="minorHAnsi"/>
        </w:rPr>
        <w:tab/>
      </w:r>
    </w:p>
    <w:p w14:paraId="6E34E1AE" w14:textId="425E0FEA" w:rsidR="005D7EAE" w:rsidRPr="00494033"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494033">
        <w:rPr>
          <w:rFonts w:asciiTheme="minorHAnsi" w:eastAsia="Times New Roman" w:hAnsiTheme="minorHAnsi" w:cstheme="minorHAnsi"/>
          <w:b/>
          <w:bCs/>
        </w:rPr>
        <w:t xml:space="preserve">do </w:t>
      </w:r>
      <w:r w:rsidR="00970740" w:rsidRPr="00494033">
        <w:rPr>
          <w:rFonts w:asciiTheme="minorHAnsi" w:eastAsia="Times New Roman" w:hAnsiTheme="minorHAnsi" w:cstheme="minorHAnsi"/>
          <w:b/>
          <w:bCs/>
        </w:rPr>
        <w:t>1</w:t>
      </w:r>
      <w:r w:rsidR="00494033" w:rsidRPr="00494033">
        <w:rPr>
          <w:rFonts w:asciiTheme="minorHAnsi" w:eastAsia="Times New Roman" w:hAnsiTheme="minorHAnsi" w:cstheme="minorHAnsi"/>
          <w:b/>
          <w:bCs/>
        </w:rPr>
        <w:t>0</w:t>
      </w:r>
      <w:r w:rsidR="001C38EA" w:rsidRPr="00494033">
        <w:rPr>
          <w:rFonts w:asciiTheme="minorHAnsi" w:eastAsia="Times New Roman" w:hAnsiTheme="minorHAnsi" w:cstheme="minorHAnsi"/>
          <w:b/>
          <w:bCs/>
        </w:rPr>
        <w:t xml:space="preserve"> </w:t>
      </w:r>
      <w:r w:rsidRPr="00494033">
        <w:rPr>
          <w:rFonts w:asciiTheme="minorHAnsi" w:eastAsia="Times New Roman" w:hAnsiTheme="minorHAnsi" w:cstheme="minorHAnsi"/>
          <w:b/>
          <w:bCs/>
        </w:rPr>
        <w:t>mesiacov</w:t>
      </w:r>
      <w:r w:rsidRPr="00494033">
        <w:rPr>
          <w:rFonts w:asciiTheme="minorHAnsi" w:eastAsia="Times New Roman" w:hAnsiTheme="minorHAnsi" w:cstheme="minorHAnsi"/>
        </w:rPr>
        <w:t xml:space="preserve"> od </w:t>
      </w:r>
      <w:r w:rsidR="00977932" w:rsidRPr="00494033">
        <w:rPr>
          <w:rFonts w:asciiTheme="minorHAnsi" w:eastAsia="Times New Roman" w:hAnsiTheme="minorHAnsi" w:cstheme="minorHAnsi"/>
        </w:rPr>
        <w:t>odovzdania</w:t>
      </w:r>
      <w:r w:rsidRPr="00494033">
        <w:rPr>
          <w:rFonts w:asciiTheme="minorHAnsi" w:eastAsia="Times New Roman" w:hAnsiTheme="minorHAnsi" w:cstheme="minorHAnsi"/>
        </w:rPr>
        <w:t xml:space="preserve"> staveniska </w:t>
      </w:r>
    </w:p>
    <w:p w14:paraId="7DC2D1D5" w14:textId="1644DB6B" w:rsidR="005D7EAE" w:rsidRDefault="005D7EAE">
      <w:pPr>
        <w:pStyle w:val="Zkladntext"/>
        <w:spacing w:before="8"/>
        <w:rPr>
          <w:rFonts w:asciiTheme="minorHAnsi" w:hAnsiTheme="minorHAnsi" w:cstheme="minorHAnsi"/>
          <w:b/>
          <w:i/>
          <w:sz w:val="22"/>
          <w:szCs w:val="22"/>
        </w:rPr>
      </w:pPr>
    </w:p>
    <w:p w14:paraId="6AA24653" w14:textId="6E70CFAB" w:rsidR="006C1609" w:rsidRDefault="006C1609">
      <w:pPr>
        <w:pStyle w:val="Zkladntext"/>
        <w:spacing w:before="8"/>
        <w:rPr>
          <w:rFonts w:asciiTheme="minorHAnsi" w:hAnsiTheme="minorHAnsi" w:cstheme="minorHAnsi"/>
          <w:b/>
          <w:i/>
          <w:sz w:val="22"/>
          <w:szCs w:val="22"/>
        </w:rPr>
      </w:pPr>
    </w:p>
    <w:p w14:paraId="78DBB413" w14:textId="1F983EE8" w:rsidR="006C1609" w:rsidRDefault="006C1609">
      <w:pPr>
        <w:pStyle w:val="Zkladntext"/>
        <w:spacing w:before="8"/>
        <w:rPr>
          <w:rFonts w:asciiTheme="minorHAnsi" w:hAnsiTheme="minorHAnsi" w:cstheme="minorHAnsi"/>
          <w:b/>
          <w:i/>
          <w:sz w:val="22"/>
          <w:szCs w:val="22"/>
        </w:rPr>
      </w:pPr>
    </w:p>
    <w:p w14:paraId="2EB20374" w14:textId="77777777" w:rsidR="006C1609" w:rsidRPr="00F574E4" w:rsidRDefault="006C160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721B3387" w:rsidR="009E2A67" w:rsidRPr="00A1403A" w:rsidRDefault="00F46051" w:rsidP="00A1403A">
      <w:pPr>
        <w:pStyle w:val="Odsekzoznamu"/>
        <w:numPr>
          <w:ilvl w:val="1"/>
          <w:numId w:val="6"/>
        </w:numPr>
        <w:tabs>
          <w:tab w:val="left" w:pos="877"/>
        </w:tabs>
        <w:spacing w:before="118"/>
        <w:ind w:right="117" w:hanging="576"/>
        <w:jc w:val="both"/>
        <w:rPr>
          <w:rFonts w:asciiTheme="minorHAnsi" w:hAnsiTheme="minorHAnsi" w:cstheme="minorHAnsi"/>
        </w:rPr>
      </w:pPr>
      <w:r w:rsidRPr="00A1403A">
        <w:rPr>
          <w:rFonts w:asciiTheme="minorHAnsi" w:eastAsiaTheme="minorHAnsi" w:hAnsiTheme="minorHAnsi" w:cstheme="minorHAnsi"/>
          <w:lang w:val="sk-SK" w:eastAsia="en-US"/>
        </w:rPr>
        <w:t xml:space="preserve">Predmet zákazky bude financovaný z </w:t>
      </w:r>
      <w:r w:rsidR="00A1403A" w:rsidRPr="00A1403A">
        <w:rPr>
          <w:rFonts w:asciiTheme="minorHAnsi" w:eastAsiaTheme="minorHAnsi" w:hAnsiTheme="minorHAnsi" w:cstheme="minorHAnsi"/>
          <w:lang w:val="sk-SK" w:eastAsia="en-US"/>
        </w:rPr>
        <w:t>Integrovan</w:t>
      </w:r>
      <w:r w:rsidR="00A1403A">
        <w:rPr>
          <w:rFonts w:asciiTheme="minorHAnsi" w:eastAsiaTheme="minorHAnsi" w:hAnsiTheme="minorHAnsi" w:cstheme="minorHAnsi"/>
          <w:lang w:val="sk-SK" w:eastAsia="en-US"/>
        </w:rPr>
        <w:t>ého</w:t>
      </w:r>
      <w:r w:rsidR="00A1403A" w:rsidRPr="00A1403A">
        <w:rPr>
          <w:rFonts w:asciiTheme="minorHAnsi" w:eastAsiaTheme="minorHAnsi" w:hAnsiTheme="minorHAnsi" w:cstheme="minorHAnsi"/>
          <w:lang w:val="sk-SK" w:eastAsia="en-US"/>
        </w:rPr>
        <w:t xml:space="preserve"> regionáln</w:t>
      </w:r>
      <w:r w:rsidR="00A1403A">
        <w:rPr>
          <w:rFonts w:asciiTheme="minorHAnsi" w:eastAsiaTheme="minorHAnsi" w:hAnsiTheme="minorHAnsi" w:cstheme="minorHAnsi"/>
          <w:lang w:val="sk-SK" w:eastAsia="en-US"/>
        </w:rPr>
        <w:t>eho</w:t>
      </w:r>
      <w:r w:rsidR="00A1403A" w:rsidRPr="00A1403A">
        <w:rPr>
          <w:rFonts w:asciiTheme="minorHAnsi" w:eastAsiaTheme="minorHAnsi" w:hAnsiTheme="minorHAnsi" w:cstheme="minorHAnsi"/>
          <w:lang w:val="sk-SK" w:eastAsia="en-US"/>
        </w:rPr>
        <w:t xml:space="preserve"> operačn</w:t>
      </w:r>
      <w:r w:rsidR="00A1403A">
        <w:rPr>
          <w:rFonts w:asciiTheme="minorHAnsi" w:eastAsiaTheme="minorHAnsi" w:hAnsiTheme="minorHAnsi" w:cstheme="minorHAnsi"/>
          <w:lang w:val="sk-SK" w:eastAsia="en-US"/>
        </w:rPr>
        <w:t>ého</w:t>
      </w:r>
      <w:r w:rsidR="00A1403A" w:rsidRPr="00A1403A">
        <w:rPr>
          <w:rFonts w:asciiTheme="minorHAnsi" w:eastAsiaTheme="minorHAnsi" w:hAnsiTheme="minorHAnsi" w:cstheme="minorHAnsi"/>
          <w:lang w:val="sk-SK" w:eastAsia="en-US"/>
        </w:rPr>
        <w:t xml:space="preserve"> program</w:t>
      </w:r>
      <w:r w:rsidR="00A1403A">
        <w:rPr>
          <w:rFonts w:asciiTheme="minorHAnsi" w:eastAsiaTheme="minorHAnsi" w:hAnsiTheme="minorHAnsi" w:cstheme="minorHAnsi"/>
          <w:lang w:val="sk-SK" w:eastAsia="en-US"/>
        </w:rPr>
        <w:t>u</w:t>
      </w:r>
      <w:r w:rsidR="00A1403A" w:rsidRPr="00A1403A">
        <w:rPr>
          <w:rFonts w:asciiTheme="minorHAnsi" w:eastAsiaTheme="minorHAnsi" w:hAnsiTheme="minorHAnsi" w:cstheme="minorHAnsi"/>
          <w:lang w:val="sk-SK" w:eastAsia="en-US"/>
        </w:rPr>
        <w:t xml:space="preserve">, Prioritná os 4. Zlepšenie kvality života v regiónoch s dôrazom na životné prostredie </w:t>
      </w:r>
      <w:r w:rsidRPr="00A1403A">
        <w:rPr>
          <w:rFonts w:asciiTheme="minorHAnsi" w:eastAsiaTheme="minorHAnsi" w:hAnsiTheme="minorHAnsi" w:cstheme="minorHAnsi"/>
          <w:lang w:val="sk-SK" w:eastAsia="en-US"/>
        </w:rPr>
        <w:t>a</w:t>
      </w:r>
      <w:r w:rsidR="00970740" w:rsidRPr="00A1403A">
        <w:rPr>
          <w:rFonts w:asciiTheme="minorHAnsi" w:eastAsiaTheme="minorHAnsi" w:hAnsiTheme="minorHAnsi" w:cstheme="minorHAnsi"/>
          <w:lang w:val="sk-SK" w:eastAsia="en-US"/>
        </w:rPr>
        <w:t xml:space="preserve"> z </w:t>
      </w:r>
      <w:r w:rsidRPr="00A1403A">
        <w:rPr>
          <w:rFonts w:asciiTheme="minorHAnsi" w:eastAsiaTheme="minorHAnsi" w:hAnsiTheme="minorHAnsi" w:cstheme="minorHAnsi"/>
          <w:lang w:val="sk-SK" w:eastAsia="en-US"/>
        </w:rPr>
        <w:t xml:space="preserve">rozpočtu mesta </w:t>
      </w:r>
      <w:r w:rsidR="00A1403A" w:rsidRPr="00A1403A">
        <w:rPr>
          <w:rFonts w:asciiTheme="minorHAnsi" w:eastAsiaTheme="minorHAnsi" w:hAnsiTheme="minorHAnsi" w:cstheme="minorHAnsi"/>
          <w:lang w:val="sk-SK" w:eastAsia="en-US"/>
        </w:rPr>
        <w:t>Prešov</w:t>
      </w:r>
      <w:r w:rsidRPr="00A1403A">
        <w:rPr>
          <w:rFonts w:asciiTheme="minorHAnsi" w:eastAsiaTheme="minorHAnsi" w:hAnsiTheme="minorHAnsi" w:cstheme="minorHAnsi"/>
          <w:lang w:val="sk-SK" w:eastAsia="en-US"/>
        </w:rPr>
        <w:t>.</w:t>
      </w:r>
      <w:r w:rsidRPr="00A1403A">
        <w:rPr>
          <w:rFonts w:asciiTheme="minorHAnsi" w:hAnsiTheme="minorHAnsi" w:cstheme="minorHAnsi"/>
        </w:rPr>
        <w:t xml:space="preserve"> </w:t>
      </w:r>
      <w:r w:rsidR="00FA793F" w:rsidRPr="00A1403A">
        <w:rPr>
          <w:rFonts w:asciiTheme="minorHAnsi" w:hAnsiTheme="minorHAnsi" w:cstheme="minorHAnsi"/>
        </w:rPr>
        <w:t xml:space="preserve">Verejný obstarávateľ určil v súlade s § 6 ZVO predpokladanú hodnotu zákazky spolu vo výške </w:t>
      </w:r>
      <w:r w:rsidR="00A1403A" w:rsidRPr="00A1403A">
        <w:rPr>
          <w:rFonts w:asciiTheme="minorHAnsi" w:eastAsiaTheme="minorHAnsi" w:hAnsiTheme="minorHAnsi" w:cstheme="minorHAnsi"/>
          <w:b/>
          <w:bCs/>
          <w:lang w:val="sk-SK" w:eastAsia="en-US"/>
        </w:rPr>
        <w:t>802 749,86</w:t>
      </w:r>
      <w:r w:rsidR="00FA793F" w:rsidRPr="00A1403A">
        <w:rPr>
          <w:rFonts w:asciiTheme="minorHAnsi" w:hAnsiTheme="minorHAnsi" w:cstheme="minorHAnsi"/>
          <w:b/>
        </w:rPr>
        <w:t xml:space="preserve">€ bez DPH </w:t>
      </w:r>
      <w:r w:rsidR="00FA793F" w:rsidRPr="00A1403A">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5C51504B" w14:textId="447F94A5" w:rsidR="003E7AB4" w:rsidRPr="003E7AB4" w:rsidRDefault="00FA793F" w:rsidP="003E7AB4">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2B337E2E" w14:textId="552EF459" w:rsidR="005D7EAE" w:rsidRPr="003E7AB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717C782F" w14:textId="77777777" w:rsidR="005D7EAE" w:rsidRPr="003E7AB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74A7A769"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970740">
        <w:rPr>
          <w:rFonts w:asciiTheme="minorHAnsi" w:hAnsiTheme="minorHAnsi" w:cstheme="minorHAnsi"/>
          <w:b/>
          <w:highlight w:val="yellow"/>
        </w:rPr>
        <w:t>1</w:t>
      </w:r>
      <w:r w:rsidR="00A1403A">
        <w:rPr>
          <w:rFonts w:asciiTheme="minorHAnsi" w:hAnsiTheme="minorHAnsi" w:cstheme="minorHAnsi"/>
          <w:b/>
          <w:highlight w:val="yellow"/>
        </w:rPr>
        <w:t>2</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31864D66" w14:textId="59C99963" w:rsidR="00A1403A" w:rsidRPr="00476778" w:rsidRDefault="00A1403A"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fldChar w:fldCharType="begin"/>
      </w:r>
      <w:r>
        <w:rPr>
          <w:rFonts w:asciiTheme="minorHAnsi" w:eastAsiaTheme="minorHAnsi" w:hAnsiTheme="minorHAnsi" w:cstheme="minorHAnsi"/>
          <w:b/>
          <w:bCs/>
          <w:sz w:val="22"/>
          <w:szCs w:val="22"/>
          <w:lang w:eastAsia="en-US"/>
        </w:rPr>
        <w:instrText xml:space="preserve"> HYPERLINK "</w:instrText>
      </w:r>
      <w:r w:rsidRPr="00A1403A">
        <w:rPr>
          <w:rFonts w:asciiTheme="minorHAnsi" w:eastAsiaTheme="minorHAnsi" w:hAnsiTheme="minorHAnsi" w:cstheme="minorHAnsi"/>
          <w:b/>
          <w:bCs/>
          <w:sz w:val="22"/>
          <w:szCs w:val="22"/>
          <w:lang w:eastAsia="en-US"/>
        </w:rPr>
        <w:instrText>https://josephine.proebiz.com/sk/tender/19777/summary</w:instrText>
      </w:r>
      <w:r>
        <w:rPr>
          <w:rFonts w:asciiTheme="minorHAnsi" w:eastAsiaTheme="minorHAnsi" w:hAnsiTheme="minorHAnsi" w:cstheme="minorHAnsi"/>
          <w:b/>
          <w:bCs/>
          <w:sz w:val="22"/>
          <w:szCs w:val="22"/>
          <w:lang w:eastAsia="en-US"/>
        </w:rPr>
        <w:instrText xml:space="preserve">" </w:instrText>
      </w:r>
      <w:r>
        <w:rPr>
          <w:rFonts w:asciiTheme="minorHAnsi" w:eastAsiaTheme="minorHAnsi" w:hAnsiTheme="minorHAnsi" w:cstheme="minorHAnsi"/>
          <w:b/>
          <w:bCs/>
          <w:sz w:val="22"/>
          <w:szCs w:val="22"/>
          <w:lang w:eastAsia="en-US"/>
        </w:rPr>
        <w:fldChar w:fldCharType="separate"/>
      </w:r>
      <w:r w:rsidRPr="000477EF">
        <w:rPr>
          <w:rStyle w:val="Hypertextovprepojenie"/>
          <w:rFonts w:asciiTheme="minorHAnsi" w:eastAsiaTheme="minorHAnsi" w:hAnsiTheme="minorHAnsi" w:cstheme="minorHAnsi"/>
          <w:b/>
          <w:bCs/>
          <w:sz w:val="22"/>
          <w:szCs w:val="22"/>
          <w:lang w:eastAsia="en-US"/>
        </w:rPr>
        <w:t>https://josephine.proebiz.com/sk/tender/19777/summary</w:t>
      </w:r>
      <w:r>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3E9DC4E" w:rsidR="00DD063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40BD1873" w14:textId="79163860" w:rsidR="00A1403A" w:rsidRPr="0067710C" w:rsidRDefault="006862A6" w:rsidP="00A1403A">
      <w:pPr>
        <w:pStyle w:val="Zarkazkladnhotextu21"/>
        <w:tabs>
          <w:tab w:val="left" w:pos="993"/>
          <w:tab w:val="right" w:leader="dot" w:pos="10033"/>
        </w:tabs>
        <w:ind w:left="851"/>
        <w:rPr>
          <w:rFonts w:asciiTheme="minorHAnsi" w:hAnsiTheme="minorHAnsi" w:cstheme="minorHAnsi"/>
          <w:b/>
          <w:bCs/>
          <w:sz w:val="22"/>
          <w:szCs w:val="22"/>
        </w:rPr>
      </w:pPr>
      <w:hyperlink r:id="rId10" w:history="1">
        <w:r w:rsidR="00A1403A" w:rsidRPr="000477EF">
          <w:rPr>
            <w:rStyle w:val="Hypertextovprepojenie"/>
            <w:rFonts w:asciiTheme="minorHAnsi" w:hAnsiTheme="minorHAnsi" w:cstheme="minorHAnsi"/>
            <w:b/>
            <w:bCs/>
            <w:sz w:val="22"/>
            <w:szCs w:val="22"/>
          </w:rPr>
          <w:t>https://josephine.proebiz.com/sk/tender/19777/summary</w:t>
        </w:r>
      </w:hyperlink>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07748FE1" w:rsidR="007C4446" w:rsidRDefault="007C4446" w:rsidP="006C3236">
      <w:pPr>
        <w:pStyle w:val="xmsolistparagraph"/>
        <w:spacing w:before="0" w:beforeAutospacing="0" w:after="0" w:afterAutospacing="0"/>
        <w:ind w:left="876" w:right="142"/>
        <w:jc w:val="both"/>
        <w:rPr>
          <w:rFonts w:asciiTheme="minorHAnsi" w:eastAsia="Times New Roman" w:hAnsiTheme="minorHAnsi" w:cstheme="minorHAnsi"/>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2B800B0A"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2A1C88">
        <w:rPr>
          <w:rFonts w:asciiTheme="minorHAnsi" w:hAnsiTheme="minorHAnsi" w:cstheme="minorHAnsi"/>
          <w:b/>
          <w:bCs/>
          <w:i/>
          <w:iCs/>
        </w:rPr>
        <w:t>„</w:t>
      </w:r>
      <w:r w:rsidR="002A1C88" w:rsidRPr="002A1C88">
        <w:rPr>
          <w:rFonts w:asciiTheme="minorHAnsi" w:eastAsiaTheme="minorHAnsi" w:hAnsiTheme="minorHAnsi" w:cstheme="minorHAnsi"/>
          <w:b/>
          <w:bCs/>
          <w:i/>
          <w:iCs/>
          <w:lang w:val="sk-SK" w:eastAsia="en-US"/>
        </w:rPr>
        <w:t>Prešov - Nižná Šebastová, Pánska záhrada</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04085115"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2A1C88">
        <w:rPr>
          <w:rFonts w:asciiTheme="minorHAnsi" w:hAnsiTheme="minorHAnsi" w:cstheme="minorHAnsi"/>
          <w:i w:val="0"/>
          <w:sz w:val="22"/>
          <w:szCs w:val="22"/>
          <w:highlight w:val="yellow"/>
        </w:rPr>
        <w:t>20</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336EF6B8" w14:textId="77777777" w:rsidR="002A1C88" w:rsidRPr="00625FC6" w:rsidRDefault="002A1C88" w:rsidP="002A1C88">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42FBAF56" w14:textId="77777777" w:rsidR="002A1C88" w:rsidRPr="00BE2D21" w:rsidRDefault="002A1C88" w:rsidP="002A1C88">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C823C73" w14:textId="77777777" w:rsidR="002A1C88" w:rsidRPr="00BE2D21" w:rsidRDefault="002A1C88" w:rsidP="002A1C88">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6E332C79"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C53A93">
        <w:rPr>
          <w:rFonts w:asciiTheme="minorHAnsi" w:eastAsia="Calibri" w:hAnsiTheme="minorHAnsi" w:cstheme="minorHAnsi"/>
          <w:b/>
          <w:bCs/>
          <w:color w:val="000000"/>
          <w:highlight w:val="yellow"/>
        </w:rPr>
        <w:t>1</w:t>
      </w:r>
      <w:r w:rsidR="002A1C88">
        <w:rPr>
          <w:rFonts w:asciiTheme="minorHAnsi" w:eastAsia="Calibri" w:hAnsiTheme="minorHAnsi" w:cstheme="minorHAnsi"/>
          <w:b/>
          <w:bCs/>
          <w:color w:val="000000"/>
          <w:highlight w:val="yellow"/>
        </w:rPr>
        <w:t>2</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7A4B0302" w14:textId="7344FEDC" w:rsidR="00476778" w:rsidRPr="00A1403A" w:rsidRDefault="006862A6"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3" w:history="1">
        <w:r w:rsidR="00A1403A" w:rsidRPr="00A1403A">
          <w:rPr>
            <w:rStyle w:val="Hypertextovprepojenie"/>
            <w:rFonts w:asciiTheme="minorHAnsi" w:hAnsiTheme="minorHAnsi" w:cstheme="minorHAnsi"/>
            <w:b/>
            <w:bCs/>
            <w:sz w:val="22"/>
            <w:szCs w:val="22"/>
          </w:rPr>
          <w:t>https://josephine.proebiz.com/sk/tender/19777/summary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67EF91E0" w14:textId="77777777" w:rsidR="00B16FBC" w:rsidRPr="00900F4D"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6CBC2D0B" w14:textId="77777777" w:rsidR="00B16FBC" w:rsidRPr="00900F4D"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77777777"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49E29F09" w:rsidR="0040071E" w:rsidRPr="00EF028E"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EF028E">
        <w:rPr>
          <w:rFonts w:asciiTheme="minorHAnsi" w:hAnsiTheme="minorHAnsi" w:cstheme="minorHAnsi"/>
          <w:b/>
          <w:bCs/>
        </w:rPr>
        <w:t xml:space="preserve">vo </w:t>
      </w:r>
      <w:r w:rsidR="00D23C89" w:rsidRPr="00EF028E">
        <w:rPr>
          <w:rFonts w:asciiTheme="minorHAnsi" w:hAnsiTheme="minorHAnsi" w:cstheme="minorHAnsi"/>
          <w:b/>
          <w:bCs/>
        </w:rPr>
        <w:t xml:space="preserve">Vestníku </w:t>
      </w:r>
      <w:r w:rsidR="00D23C89" w:rsidRPr="00EF028E">
        <w:rPr>
          <w:rFonts w:asciiTheme="minorHAnsi" w:hAnsiTheme="minorHAnsi" w:cstheme="minorHAnsi"/>
          <w:b/>
          <w:bCs/>
          <w:color w:val="000000" w:themeColor="text1"/>
        </w:rPr>
        <w:t xml:space="preserve">č. </w:t>
      </w:r>
      <w:r w:rsidR="00EF028E" w:rsidRPr="00EF028E">
        <w:rPr>
          <w:rFonts w:asciiTheme="minorHAnsi" w:eastAsiaTheme="minorHAnsi" w:hAnsiTheme="minorHAnsi" w:cstheme="minorHAnsi"/>
          <w:b/>
          <w:bCs/>
          <w:lang w:val="sk-SK" w:eastAsia="en-US"/>
        </w:rPr>
        <w:t>82/2022 - 01.04.2022</w:t>
      </w:r>
      <w:r w:rsidR="00C53A93" w:rsidRPr="00EF028E">
        <w:rPr>
          <w:rFonts w:asciiTheme="minorHAnsi" w:hAnsiTheme="minorHAnsi" w:cstheme="minorHAnsi"/>
          <w:b/>
          <w:bCs/>
          <w:color w:val="000000"/>
        </w:rPr>
        <w:t xml:space="preserve">, zn. </w:t>
      </w:r>
      <w:r w:rsidR="00EF028E" w:rsidRPr="00EF028E">
        <w:rPr>
          <w:rFonts w:asciiTheme="minorHAnsi" w:eastAsiaTheme="minorHAnsi" w:hAnsiTheme="minorHAnsi" w:cstheme="minorHAnsi"/>
          <w:b/>
          <w:bCs/>
          <w:lang w:val="sk-SK" w:eastAsia="en-US"/>
        </w:rPr>
        <w:t>18239</w:t>
      </w:r>
      <w:r w:rsidR="00C53A93" w:rsidRPr="00EF028E">
        <w:rPr>
          <w:rFonts w:asciiTheme="minorHAnsi" w:hAnsiTheme="minorHAnsi" w:cstheme="minorHAnsi"/>
          <w:b/>
          <w:bCs/>
          <w:color w:val="000000"/>
        </w:rPr>
        <w:t>- WYP</w:t>
      </w:r>
      <w:r w:rsidR="00EF028E">
        <w:rPr>
          <w:rFonts w:asciiTheme="minorHAnsi" w:hAnsiTheme="minorHAnsi" w:cstheme="minorHAnsi"/>
          <w:b/>
          <w:bCs/>
        </w:rPr>
        <w:t xml:space="preserve"> </w:t>
      </w:r>
      <w:r w:rsidRPr="00EF028E">
        <w:rPr>
          <w:rFonts w:asciiTheme="minorHAnsi" w:hAnsiTheme="minorHAnsi" w:cstheme="minorHAnsi"/>
          <w:b/>
          <w:bCs/>
        </w:rPr>
        <w:t xml:space="preserve">(ODDIEL III. Časť III.1.)    </w:t>
      </w:r>
    </w:p>
    <w:p w14:paraId="678B0395" w14:textId="77777777" w:rsidR="008521C9" w:rsidRDefault="008521C9" w:rsidP="008521C9">
      <w:pPr>
        <w:pStyle w:val="Nadpis1"/>
        <w:jc w:val="right"/>
        <w:rPr>
          <w:rFonts w:asciiTheme="minorHAnsi" w:hAnsiTheme="minorHAnsi" w:cstheme="minorHAnsi"/>
          <w:color w:val="808080"/>
          <w:sz w:val="22"/>
          <w:szCs w:val="22"/>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49DE4988" w14:textId="57660BA8" w:rsidR="00760138" w:rsidRPr="0088044B" w:rsidRDefault="00760138" w:rsidP="0088044B">
      <w:pPr>
        <w:widowControl/>
        <w:adjustRightInd w:val="0"/>
        <w:ind w:left="284"/>
        <w:jc w:val="both"/>
        <w:rPr>
          <w:rFonts w:asciiTheme="minorHAnsi" w:eastAsiaTheme="minorHAnsi" w:hAnsiTheme="minorHAnsi" w:cstheme="minorHAnsi"/>
          <w:lang w:val="sk-SK" w:eastAsia="en-US"/>
        </w:rPr>
      </w:pPr>
      <w:r w:rsidRPr="0088044B">
        <w:rPr>
          <w:rFonts w:asciiTheme="minorHAnsi" w:eastAsiaTheme="minorHAnsi" w:hAnsiTheme="minorHAnsi" w:cstheme="minorHAnsi"/>
          <w:lang w:val="sk-SK" w:eastAsia="en-US"/>
        </w:rPr>
        <w:t xml:space="preserve">Predmetom obstarávania je </w:t>
      </w:r>
      <w:r w:rsidR="00666509" w:rsidRPr="0088044B">
        <w:rPr>
          <w:rFonts w:asciiTheme="minorHAnsi" w:eastAsiaTheme="minorHAnsi" w:hAnsiTheme="minorHAnsi" w:cstheme="minorHAnsi"/>
          <w:i/>
          <w:lang w:val="sk-SK" w:eastAsia="en-US"/>
        </w:rPr>
        <w:t>Prešov - Nižná Šebastová, Pánska záhrada</w:t>
      </w:r>
      <w:r w:rsidRPr="0088044B">
        <w:rPr>
          <w:rFonts w:asciiTheme="minorHAnsi" w:eastAsiaTheme="minorHAnsi" w:hAnsiTheme="minorHAnsi" w:cstheme="minorHAnsi"/>
          <w:lang w:val="sk-SK" w:eastAsia="en-US"/>
        </w:rPr>
        <w:t>.</w:t>
      </w:r>
    </w:p>
    <w:p w14:paraId="45C4F09A" w14:textId="38CC7476" w:rsidR="00666509" w:rsidRPr="0088044B" w:rsidRDefault="00666509" w:rsidP="0088044B">
      <w:pPr>
        <w:widowControl/>
        <w:adjustRightInd w:val="0"/>
        <w:ind w:left="284"/>
        <w:jc w:val="both"/>
        <w:rPr>
          <w:rFonts w:asciiTheme="minorHAnsi" w:eastAsiaTheme="minorHAnsi" w:hAnsiTheme="minorHAnsi" w:cstheme="minorHAnsi"/>
          <w:lang w:val="sk-SK" w:eastAsia="en-US"/>
        </w:rPr>
      </w:pPr>
      <w:r w:rsidRPr="0088044B">
        <w:rPr>
          <w:rFonts w:asciiTheme="minorHAnsi" w:eastAsiaTheme="minorHAnsi" w:hAnsiTheme="minorHAnsi" w:cstheme="minorHAnsi"/>
          <w:lang w:val="sk-SK" w:eastAsia="en-US"/>
        </w:rPr>
        <w:t xml:space="preserve">Projekt zabezpečí vytvorenie vhodného prostredia pre oddych a relax. Zabezpečí sa jednak zvýšenie </w:t>
      </w:r>
      <w:proofErr w:type="spellStart"/>
      <w:r w:rsidRPr="0088044B">
        <w:rPr>
          <w:rFonts w:asciiTheme="minorHAnsi" w:eastAsiaTheme="minorHAnsi" w:hAnsiTheme="minorHAnsi" w:cstheme="minorHAnsi"/>
          <w:lang w:val="sk-SK" w:eastAsia="en-US"/>
        </w:rPr>
        <w:t>ekostabilizujúcej</w:t>
      </w:r>
      <w:proofErr w:type="spellEnd"/>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hodnoty riešeného územia, výsadbou novej zelene sa zabezpečí zlepšenie hygienických pomerov územia (zníženie</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prašnosti, hluku...), navrhované je umiestnenie nových prvkov drobnej architektúry v území- lavičiek, odpadkových</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košov, informačných tabúľ, herných prvkov a vybudovanie nového oplotenia. Navrhovaný je edukačný program s</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 xml:space="preserve">osadením informačných tabuliek a umeleckých diel. </w:t>
      </w:r>
      <w:proofErr w:type="spellStart"/>
      <w:r w:rsidRPr="0088044B">
        <w:rPr>
          <w:rFonts w:asciiTheme="minorHAnsi" w:eastAsiaTheme="minorHAnsi" w:hAnsiTheme="minorHAnsi" w:cstheme="minorHAnsi"/>
          <w:lang w:val="sk-SK" w:eastAsia="en-US"/>
        </w:rPr>
        <w:t>Smart</w:t>
      </w:r>
      <w:proofErr w:type="spellEnd"/>
      <w:r w:rsidRPr="0088044B">
        <w:rPr>
          <w:rFonts w:asciiTheme="minorHAnsi" w:eastAsiaTheme="minorHAnsi" w:hAnsiTheme="minorHAnsi" w:cstheme="minorHAnsi"/>
          <w:lang w:val="sk-SK" w:eastAsia="en-US"/>
        </w:rPr>
        <w:t xml:space="preserve"> princípy budú prítomné v návrhu umiestnenia solárnej lavičky,</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 xml:space="preserve">či v myšlienke zrealizovania mobilnej edukačnej </w:t>
      </w:r>
      <w:proofErr w:type="spellStart"/>
      <w:r w:rsidRPr="0088044B">
        <w:rPr>
          <w:rFonts w:asciiTheme="minorHAnsi" w:eastAsiaTheme="minorHAnsi" w:hAnsiTheme="minorHAnsi" w:cstheme="minorHAnsi"/>
          <w:lang w:val="sk-SK" w:eastAsia="en-US"/>
        </w:rPr>
        <w:t>aplikácie.Z</w:t>
      </w:r>
      <w:proofErr w:type="spellEnd"/>
      <w:r w:rsidRPr="0088044B">
        <w:rPr>
          <w:rFonts w:asciiTheme="minorHAnsi" w:eastAsiaTheme="minorHAnsi" w:hAnsiTheme="minorHAnsi" w:cstheme="minorHAnsi"/>
          <w:lang w:val="sk-SK" w:eastAsia="en-US"/>
        </w:rPr>
        <w:t xml:space="preserve"> technických zariadení je navrhované nové osvetlenie parku a</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kamerový systém. Pre zabezpečenie rastu a vitality parkovej zelene aj v obdobiach sucha je navrhované vybudovanie</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systému zavlažovania, čím sa taktiež zabezpečí vhodné hospodárenie s vodou v území, čo bude mať priaznivý vplyv na</w:t>
      </w:r>
      <w:r w:rsidR="0088044B">
        <w:rPr>
          <w:rFonts w:asciiTheme="minorHAnsi" w:eastAsiaTheme="minorHAnsi" w:hAnsiTheme="minorHAnsi" w:cstheme="minorHAnsi"/>
          <w:lang w:val="sk-SK" w:eastAsia="en-US"/>
        </w:rPr>
        <w:t xml:space="preserve"> </w:t>
      </w:r>
      <w:r w:rsidRPr="0088044B">
        <w:rPr>
          <w:rFonts w:asciiTheme="minorHAnsi" w:eastAsiaTheme="minorHAnsi" w:hAnsiTheme="minorHAnsi" w:cstheme="minorHAnsi"/>
          <w:lang w:val="sk-SK" w:eastAsia="en-US"/>
        </w:rPr>
        <w:t>mikroklimatické podmienky riešeného územia.</w:t>
      </w:r>
    </w:p>
    <w:p w14:paraId="425BDF85" w14:textId="1D59598A" w:rsidR="00666509" w:rsidRPr="0088044B" w:rsidRDefault="00666509" w:rsidP="0088044B">
      <w:pPr>
        <w:pStyle w:val="Nadpis1"/>
        <w:spacing w:before="72"/>
        <w:ind w:left="284"/>
        <w:jc w:val="both"/>
        <w:rPr>
          <w:rFonts w:asciiTheme="minorHAnsi" w:eastAsiaTheme="minorHAnsi" w:hAnsiTheme="minorHAnsi" w:cstheme="minorHAnsi"/>
          <w:b w:val="0"/>
          <w:bCs w:val="0"/>
          <w:sz w:val="22"/>
          <w:szCs w:val="22"/>
          <w:lang w:val="sk-SK" w:eastAsia="en-US"/>
        </w:rPr>
      </w:pPr>
      <w:r w:rsidRPr="0088044B">
        <w:rPr>
          <w:rFonts w:asciiTheme="minorHAnsi" w:eastAsiaTheme="minorHAnsi" w:hAnsiTheme="minorHAnsi" w:cstheme="minorHAnsi"/>
          <w:b w:val="0"/>
          <w:bCs w:val="0"/>
          <w:sz w:val="22"/>
          <w:szCs w:val="22"/>
          <w:lang w:val="sk-SK" w:eastAsia="en-US"/>
        </w:rPr>
        <w:t>Podrobný opis predmetu obstarávania je uvedený v PD a výkaze výmer, ktoré tvoria prílohu týchto SP.</w:t>
      </w:r>
    </w:p>
    <w:p w14:paraId="2147E96E" w14:textId="5ED2D7E2" w:rsidR="00E83723" w:rsidRPr="0088044B" w:rsidRDefault="00E83723" w:rsidP="0088044B">
      <w:pPr>
        <w:pStyle w:val="Nadpis1"/>
        <w:spacing w:before="72"/>
        <w:ind w:left="284"/>
        <w:jc w:val="both"/>
        <w:rPr>
          <w:rFonts w:asciiTheme="minorHAnsi" w:hAnsiTheme="minorHAnsi" w:cstheme="minorHAnsi"/>
          <w:b w:val="0"/>
          <w:bCs w:val="0"/>
          <w:color w:val="808080"/>
          <w:sz w:val="22"/>
          <w:szCs w:val="22"/>
        </w:rPr>
      </w:pPr>
    </w:p>
    <w:p w14:paraId="59B0D869" w14:textId="706B0FC7" w:rsidR="00E83723" w:rsidRPr="0088044B" w:rsidRDefault="00E83723" w:rsidP="0088044B">
      <w:pPr>
        <w:pStyle w:val="Nadpis1"/>
        <w:spacing w:before="72"/>
        <w:ind w:left="284"/>
        <w:jc w:val="both"/>
        <w:rPr>
          <w:rFonts w:asciiTheme="minorHAnsi" w:hAnsiTheme="minorHAnsi" w:cstheme="minorHAnsi"/>
          <w:b w:val="0"/>
          <w:bCs w:val="0"/>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73D54130" w:rsidR="0088044B" w:rsidRDefault="0088044B"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C41C423" w14:textId="020E63C9"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8429448"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666509">
        <w:rPr>
          <w:rFonts w:cstheme="minorHAnsi"/>
          <w:b/>
          <w:bCs/>
          <w:i/>
          <w:iCs/>
          <w:sz w:val="20"/>
          <w:szCs w:val="20"/>
        </w:rPr>
        <w:t>„</w:t>
      </w:r>
      <w:bookmarkStart w:id="9" w:name="_Hlk81511973"/>
      <w:bookmarkEnd w:id="7"/>
      <w:r w:rsidR="00666509" w:rsidRPr="00666509">
        <w:rPr>
          <w:rFonts w:eastAsiaTheme="minorHAnsi" w:cstheme="minorHAnsi"/>
          <w:b/>
          <w:bCs/>
          <w:i/>
          <w:iCs/>
          <w:sz w:val="20"/>
          <w:szCs w:val="20"/>
          <w:lang w:val="sk-SK" w:eastAsia="en-US"/>
        </w:rPr>
        <w:t>Prešov - Nižná Šebastová, Pánska záhrada</w:t>
      </w:r>
      <w:r w:rsidR="00790D57" w:rsidRPr="00666509">
        <w:rPr>
          <w:rFonts w:cstheme="minorHAnsi"/>
          <w:b/>
          <w:bCs/>
          <w:i/>
          <w:iCs/>
          <w:sz w:val="20"/>
          <w:szCs w:val="20"/>
        </w:rPr>
        <w:t xml:space="preserve">“ vyhlásenej vo </w:t>
      </w:r>
      <w:bookmarkEnd w:id="8"/>
      <w:bookmarkEnd w:id="9"/>
      <w:r w:rsidR="00C53A93" w:rsidRPr="00666509">
        <w:rPr>
          <w:rFonts w:cstheme="minorHAnsi"/>
          <w:b/>
          <w:bCs/>
          <w:i/>
          <w:iCs/>
          <w:sz w:val="20"/>
          <w:szCs w:val="20"/>
        </w:rPr>
        <w:t xml:space="preserve">Vestníku </w:t>
      </w:r>
      <w:r w:rsidR="00C53A93" w:rsidRPr="00666509">
        <w:rPr>
          <w:rFonts w:cstheme="minorHAnsi"/>
          <w:b/>
          <w:bCs/>
          <w:i/>
          <w:iCs/>
          <w:color w:val="000000" w:themeColor="text1"/>
          <w:sz w:val="20"/>
          <w:szCs w:val="20"/>
        </w:rPr>
        <w:t xml:space="preserve">č. </w:t>
      </w:r>
      <w:r w:rsidR="00666509" w:rsidRPr="00666509">
        <w:rPr>
          <w:rFonts w:eastAsiaTheme="minorHAnsi" w:cstheme="minorHAnsi"/>
          <w:b/>
          <w:bCs/>
          <w:i/>
          <w:iCs/>
          <w:sz w:val="20"/>
          <w:szCs w:val="20"/>
          <w:lang w:val="sk-SK" w:eastAsia="en-US"/>
        </w:rPr>
        <w:t>82/2022 - 01.04.2022</w:t>
      </w:r>
      <w:r w:rsidR="00666509" w:rsidRPr="00666509">
        <w:rPr>
          <w:rFonts w:cstheme="minorHAnsi"/>
          <w:b/>
          <w:bCs/>
          <w:i/>
          <w:iCs/>
          <w:color w:val="000000"/>
          <w:sz w:val="20"/>
          <w:szCs w:val="20"/>
        </w:rPr>
        <w:t xml:space="preserve">, zn. </w:t>
      </w:r>
      <w:r w:rsidR="00666509" w:rsidRPr="00666509">
        <w:rPr>
          <w:rFonts w:eastAsiaTheme="minorHAnsi" w:cstheme="minorHAnsi"/>
          <w:b/>
          <w:bCs/>
          <w:i/>
          <w:iCs/>
          <w:sz w:val="20"/>
          <w:szCs w:val="20"/>
          <w:lang w:val="sk-SK" w:eastAsia="en-US"/>
        </w:rPr>
        <w:t>18239</w:t>
      </w:r>
      <w:r w:rsidR="00666509" w:rsidRPr="00666509">
        <w:rPr>
          <w:rFonts w:cstheme="minorHAnsi"/>
          <w:b/>
          <w:bCs/>
          <w:i/>
          <w:iCs/>
          <w:color w:val="000000"/>
          <w:sz w:val="20"/>
          <w:szCs w:val="20"/>
        </w:rPr>
        <w:t>- WYP</w:t>
      </w:r>
      <w:r w:rsidR="00666509">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5598E6B7"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D33161" w:rsidRPr="00D33161">
        <w:rPr>
          <w:rFonts w:cstheme="minorHAnsi"/>
          <w:b/>
          <w:bCs/>
          <w:i/>
          <w:iCs/>
          <w:sz w:val="20"/>
          <w:szCs w:val="20"/>
        </w:rPr>
        <w:t>„</w:t>
      </w:r>
      <w:r w:rsidR="00666509" w:rsidRPr="00666509">
        <w:rPr>
          <w:rFonts w:eastAsiaTheme="minorHAnsi" w:cstheme="minorHAnsi"/>
          <w:b/>
          <w:bCs/>
          <w:i/>
          <w:iCs/>
          <w:sz w:val="20"/>
          <w:szCs w:val="20"/>
          <w:lang w:val="sk-SK" w:eastAsia="en-US"/>
        </w:rPr>
        <w:t>Prešov - Nižná Šebastová, Pánska záhrada</w:t>
      </w:r>
      <w:r w:rsidR="00D33161" w:rsidRPr="00D33161">
        <w:rPr>
          <w:rFonts w:cstheme="minorHAnsi"/>
          <w:b/>
          <w:bCs/>
          <w:i/>
          <w:iCs/>
          <w:sz w:val="20"/>
          <w:szCs w:val="20"/>
        </w:rPr>
        <w:t xml:space="preserve">“ vyhlásenej vo </w:t>
      </w:r>
      <w:r w:rsidR="00D33161" w:rsidRPr="00666509">
        <w:rPr>
          <w:rFonts w:cstheme="minorHAnsi"/>
          <w:b/>
          <w:bCs/>
          <w:i/>
          <w:iCs/>
          <w:sz w:val="20"/>
          <w:szCs w:val="20"/>
        </w:rPr>
        <w:t xml:space="preserve">Vestníku </w:t>
      </w:r>
      <w:r w:rsidR="00D33161" w:rsidRPr="00666509">
        <w:rPr>
          <w:rFonts w:cstheme="minorHAnsi"/>
          <w:b/>
          <w:bCs/>
          <w:i/>
          <w:iCs/>
          <w:color w:val="000000" w:themeColor="text1"/>
          <w:sz w:val="20"/>
          <w:szCs w:val="20"/>
        </w:rPr>
        <w:t>č.</w:t>
      </w:r>
      <w:r w:rsidR="00D33161" w:rsidRPr="00666509">
        <w:rPr>
          <w:rFonts w:cstheme="minorHAnsi"/>
          <w:b/>
          <w:i/>
          <w:iCs/>
          <w:color w:val="000000" w:themeColor="text1"/>
          <w:sz w:val="20"/>
          <w:szCs w:val="20"/>
        </w:rPr>
        <w:t xml:space="preserve"> </w:t>
      </w:r>
      <w:r w:rsidR="00666509" w:rsidRPr="00666509">
        <w:rPr>
          <w:rFonts w:eastAsiaTheme="minorHAnsi" w:cstheme="minorHAnsi"/>
          <w:b/>
          <w:bCs/>
          <w:i/>
          <w:iCs/>
          <w:sz w:val="20"/>
          <w:szCs w:val="20"/>
          <w:lang w:val="sk-SK" w:eastAsia="en-US"/>
        </w:rPr>
        <w:t>82/2022 - 01.04.2022</w:t>
      </w:r>
      <w:r w:rsidR="00666509" w:rsidRPr="00666509">
        <w:rPr>
          <w:rFonts w:cstheme="minorHAnsi"/>
          <w:b/>
          <w:bCs/>
          <w:i/>
          <w:iCs/>
          <w:color w:val="000000"/>
          <w:sz w:val="20"/>
          <w:szCs w:val="20"/>
        </w:rPr>
        <w:t xml:space="preserve">, zn. </w:t>
      </w:r>
      <w:r w:rsidR="00666509" w:rsidRPr="00666509">
        <w:rPr>
          <w:rFonts w:eastAsiaTheme="minorHAnsi" w:cstheme="minorHAnsi"/>
          <w:b/>
          <w:bCs/>
          <w:i/>
          <w:iCs/>
          <w:sz w:val="20"/>
          <w:szCs w:val="20"/>
          <w:lang w:val="sk-SK" w:eastAsia="en-US"/>
        </w:rPr>
        <w:t>18239</w:t>
      </w:r>
      <w:r w:rsidR="00666509" w:rsidRPr="00666509">
        <w:rPr>
          <w:rFonts w:cstheme="minorHAnsi"/>
          <w:b/>
          <w:bCs/>
          <w:i/>
          <w:iCs/>
          <w:color w:val="000000"/>
          <w:sz w:val="20"/>
          <w:szCs w:val="20"/>
        </w:rPr>
        <w:t>- WYP</w:t>
      </w:r>
      <w:r w:rsidR="00666509">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206F5ED4"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D33161" w:rsidRPr="00666509">
        <w:rPr>
          <w:rFonts w:asciiTheme="minorHAnsi" w:hAnsiTheme="minorHAnsi" w:cstheme="minorHAnsi"/>
          <w:b/>
          <w:bCs/>
          <w:i/>
          <w:iCs/>
        </w:rPr>
        <w:t>„</w:t>
      </w:r>
      <w:r w:rsidR="00666509" w:rsidRPr="00666509">
        <w:rPr>
          <w:rFonts w:asciiTheme="minorHAnsi" w:eastAsiaTheme="minorHAnsi" w:hAnsiTheme="minorHAnsi" w:cstheme="minorHAnsi"/>
          <w:b/>
          <w:bCs/>
          <w:i/>
          <w:iCs/>
          <w:lang w:val="sk-SK" w:eastAsia="en-US"/>
        </w:rPr>
        <w:t>Prešov - Nižná Šebastová, Pánska záhrada</w:t>
      </w:r>
      <w:r w:rsidR="00D33161" w:rsidRPr="00666509">
        <w:rPr>
          <w:rFonts w:asciiTheme="minorHAnsi" w:hAnsiTheme="minorHAnsi" w:cstheme="minorHAnsi"/>
          <w:b/>
          <w:bCs/>
          <w:i/>
          <w:iCs/>
        </w:rPr>
        <w:t xml:space="preserve">“ vyhlásenej vo Vestníku </w:t>
      </w:r>
      <w:r w:rsidR="00D33161" w:rsidRPr="00666509">
        <w:rPr>
          <w:rFonts w:asciiTheme="minorHAnsi" w:hAnsiTheme="minorHAnsi" w:cstheme="minorHAnsi"/>
          <w:b/>
          <w:bCs/>
          <w:i/>
          <w:iCs/>
          <w:color w:val="000000" w:themeColor="text1"/>
        </w:rPr>
        <w:t xml:space="preserve">č. </w:t>
      </w:r>
      <w:r w:rsidR="00666509" w:rsidRPr="00666509">
        <w:rPr>
          <w:rFonts w:asciiTheme="minorHAnsi" w:eastAsiaTheme="minorHAnsi" w:hAnsiTheme="minorHAnsi" w:cstheme="minorHAnsi"/>
          <w:b/>
          <w:bCs/>
          <w:i/>
          <w:iCs/>
          <w:lang w:val="sk-SK" w:eastAsia="en-US"/>
        </w:rPr>
        <w:t>82/2022 - 01.04.2022</w:t>
      </w:r>
      <w:r w:rsidR="00666509" w:rsidRPr="00666509">
        <w:rPr>
          <w:rFonts w:asciiTheme="minorHAnsi" w:hAnsiTheme="minorHAnsi" w:cstheme="minorHAnsi"/>
          <w:b/>
          <w:bCs/>
          <w:i/>
          <w:iCs/>
          <w:color w:val="000000"/>
        </w:rPr>
        <w:t xml:space="preserve">, zn. </w:t>
      </w:r>
      <w:r w:rsidR="00666509" w:rsidRPr="00666509">
        <w:rPr>
          <w:rFonts w:asciiTheme="minorHAnsi" w:eastAsiaTheme="minorHAnsi" w:hAnsiTheme="minorHAnsi" w:cstheme="minorHAnsi"/>
          <w:b/>
          <w:bCs/>
          <w:i/>
          <w:iCs/>
          <w:lang w:val="sk-SK" w:eastAsia="en-US"/>
        </w:rPr>
        <w:t>18239</w:t>
      </w:r>
      <w:r w:rsidR="00666509" w:rsidRPr="00666509">
        <w:rPr>
          <w:rFonts w:asciiTheme="minorHAnsi" w:hAnsiTheme="minorHAnsi" w:cstheme="minorHAnsi"/>
          <w:b/>
          <w:bCs/>
          <w:i/>
          <w:iCs/>
          <w:color w:val="000000"/>
        </w:rPr>
        <w:t>-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50B21EFD" w14:textId="1292371D" w:rsidR="009E2A67" w:rsidRPr="00A1403A" w:rsidRDefault="006862A6" w:rsidP="009E2A67">
      <w:pPr>
        <w:pStyle w:val="Zarkazkladnhotextu21"/>
        <w:tabs>
          <w:tab w:val="left" w:pos="993"/>
          <w:tab w:val="right" w:leader="dot" w:pos="10033"/>
        </w:tabs>
        <w:ind w:left="0"/>
        <w:rPr>
          <w:rFonts w:asciiTheme="minorHAnsi" w:hAnsiTheme="minorHAnsi" w:cstheme="minorHAnsi"/>
          <w:b/>
          <w:bCs/>
          <w:sz w:val="22"/>
          <w:szCs w:val="22"/>
        </w:rPr>
      </w:pPr>
      <w:hyperlink r:id="rId14" w:history="1">
        <w:r w:rsidR="00A1403A" w:rsidRPr="00A1403A">
          <w:rPr>
            <w:rStyle w:val="Hypertextovprepojenie"/>
            <w:rFonts w:asciiTheme="minorHAnsi" w:hAnsiTheme="minorHAnsi" w:cstheme="minorHAnsi"/>
            <w:b/>
            <w:bCs/>
            <w:sz w:val="22"/>
            <w:szCs w:val="22"/>
          </w:rPr>
          <w:t>https://josephine.proebiz.com/sk/tender/19777/summary</w:t>
        </w:r>
      </w:hyperlink>
    </w:p>
    <w:p w14:paraId="43770453" w14:textId="77777777" w:rsidR="00A1403A" w:rsidRPr="0067710C" w:rsidRDefault="00A1403A"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4F1475B7" w14:textId="3152E811" w:rsidR="00944CAF" w:rsidRPr="00944CAF" w:rsidRDefault="006862A6" w:rsidP="005908D1">
      <w:pPr>
        <w:pStyle w:val="Zarkazkladnhotextu21"/>
        <w:spacing w:before="120"/>
        <w:ind w:left="0"/>
        <w:rPr>
          <w:rFonts w:asciiTheme="minorHAnsi" w:hAnsiTheme="minorHAnsi" w:cstheme="minorHAnsi"/>
          <w:b/>
          <w:bCs/>
          <w:color w:val="000000" w:themeColor="text1"/>
          <w:sz w:val="22"/>
          <w:szCs w:val="22"/>
        </w:rPr>
      </w:pPr>
      <w:hyperlink r:id="rId15" w:history="1">
        <w:r w:rsidR="00944CAF" w:rsidRPr="00944CAF">
          <w:rPr>
            <w:rStyle w:val="Hypertextovprepojenie"/>
            <w:rFonts w:asciiTheme="minorHAnsi" w:hAnsiTheme="minorHAnsi" w:cstheme="minorHAnsi"/>
            <w:b/>
            <w:bCs/>
            <w:sz w:val="22"/>
            <w:szCs w:val="22"/>
          </w:rPr>
          <w:t>https://josephine.proebiz.com/sk/tender/19777/summary</w:t>
        </w:r>
      </w:hyperlink>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77777777" w:rsidR="00944CAF" w:rsidRDefault="00944CA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6862A6"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34D5" w14:textId="77777777" w:rsidR="006862A6" w:rsidRDefault="006862A6">
      <w:r>
        <w:separator/>
      </w:r>
    </w:p>
  </w:endnote>
  <w:endnote w:type="continuationSeparator" w:id="0">
    <w:p w14:paraId="110B8E7E" w14:textId="77777777" w:rsidR="006862A6" w:rsidRDefault="0068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ED3B" w14:textId="77777777" w:rsidR="006862A6" w:rsidRDefault="006862A6">
      <w:r>
        <w:separator/>
      </w:r>
    </w:p>
  </w:footnote>
  <w:footnote w:type="continuationSeparator" w:id="0">
    <w:p w14:paraId="0E3AF792" w14:textId="77777777" w:rsidR="006862A6" w:rsidRDefault="006862A6">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0C671F"/>
    <w:rsid w:val="000D7716"/>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94D31"/>
    <w:rsid w:val="002977BD"/>
    <w:rsid w:val="002A1C88"/>
    <w:rsid w:val="002B4E12"/>
    <w:rsid w:val="002C522B"/>
    <w:rsid w:val="002C6BAC"/>
    <w:rsid w:val="002E15F9"/>
    <w:rsid w:val="002E6183"/>
    <w:rsid w:val="002F218C"/>
    <w:rsid w:val="002F7D1E"/>
    <w:rsid w:val="003050D0"/>
    <w:rsid w:val="0031065E"/>
    <w:rsid w:val="00314E9E"/>
    <w:rsid w:val="003156A1"/>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3E7AB4"/>
    <w:rsid w:val="0040071E"/>
    <w:rsid w:val="00402C3C"/>
    <w:rsid w:val="004105E2"/>
    <w:rsid w:val="004116B0"/>
    <w:rsid w:val="00413D56"/>
    <w:rsid w:val="00417B57"/>
    <w:rsid w:val="004278DD"/>
    <w:rsid w:val="00434AEF"/>
    <w:rsid w:val="00435C69"/>
    <w:rsid w:val="004449F1"/>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66509"/>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8044B"/>
    <w:rsid w:val="00891489"/>
    <w:rsid w:val="008A0DF2"/>
    <w:rsid w:val="008A199A"/>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33161"/>
    <w:rsid w:val="00D55162"/>
    <w:rsid w:val="00D77906"/>
    <w:rsid w:val="00D77B10"/>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9777/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9777/summary" TargetMode="External"/><Relationship Id="rId10" Type="http://schemas.openxmlformats.org/officeDocument/2006/relationships/hyperlink" Target="https://josephine.proebiz.com/sk/tender/19777/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63" TargetMode="External"/><Relationship Id="rId14" Type="http://schemas.openxmlformats.org/officeDocument/2006/relationships/hyperlink" Target="https://josephine.proebiz.com/sk/tender/19777/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31</Pages>
  <Words>9444</Words>
  <Characters>53833</Characters>
  <Application>Microsoft Office Word</Application>
  <DocSecurity>0</DocSecurity>
  <Lines>448</Lines>
  <Paragraphs>126</Paragraphs>
  <ScaleCrop>false</ScaleCrop>
  <HeadingPairs>
    <vt:vector size="4" baseType="variant">
      <vt:variant>
        <vt:lpstr>Názov</vt:lpstr>
      </vt:variant>
      <vt:variant>
        <vt:i4>1</vt:i4>
      </vt:variant>
      <vt:variant>
        <vt:lpstr>Nadpisy</vt:lpstr>
      </vt:variant>
      <vt:variant>
        <vt:i4>59</vt:i4>
      </vt:variant>
    </vt:vector>
  </HeadingPairs>
  <TitlesOfParts>
    <vt:vector size="60"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„Prešov - Nižná Šebastová, Pánska záhrada“</vt:lpstr>
      <vt:lpstr>DOROZUMIEVANIE A VYSVETĽOVANIE</vt:lpstr>
      <vt:lpstr/>
      <vt:lpstr>Časť III</vt:lpstr>
      <vt:lpstr>názov súťaže: „Prešov - Nižná Šebastová, Pánska záhrada“ a</vt:lpstr>
      <vt:lpstr>    Verejný obstarávateľ vyžaduje od uchádzača na zabezpečenie ponuky zloženie zábez</vt:lpstr>
      <vt:lpstr>    Zábezpeka je stanovená vo výške 20.000,00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Podrobný opis predmetu obstarávania je uvedený v PD a výkaze výmer, ktoré tvoria</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22</cp:revision>
  <cp:lastPrinted>2022-04-01T11:19:00Z</cp:lastPrinted>
  <dcterms:created xsi:type="dcterms:W3CDTF">2021-02-23T19:27:00Z</dcterms:created>
  <dcterms:modified xsi:type="dcterms:W3CDTF">2022-04-01T18:09:00Z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