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46B38" w14:textId="77777777"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14:paraId="3AB21F95" w14:textId="77777777"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14:paraId="5E72619B" w14:textId="0123E41F" w:rsidR="004225F1" w:rsidRPr="006D4E3E" w:rsidRDefault="00F14F2E" w:rsidP="006D4E3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Cenová ponuka</w:t>
      </w:r>
    </w:p>
    <w:p w14:paraId="65176647" w14:textId="77777777"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14:paraId="4DBB8C02" w14:textId="77777777"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14:paraId="2EF6F6E1" w14:textId="77777777" w:rsidR="002B1C51" w:rsidRDefault="002B1C5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14:paraId="5369DA86" w14:textId="77777777" w:rsidR="00D33618" w:rsidRPr="00F546FF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14:paraId="1EF116C8" w14:textId="77777777"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14:paraId="2203B0CE" w14:textId="77777777"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14:paraId="02A28084" w14:textId="77777777"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14:paraId="2F290BD7" w14:textId="77777777" w:rsidR="00D33618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14:paraId="54B80050" w14:textId="77777777" w:rsidR="004C6C82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  <w:lang w:val="en-US"/>
        </w:rPr>
        <w:t>Telefón:</w:t>
      </w:r>
    </w:p>
    <w:p w14:paraId="31F0D94D" w14:textId="77777777" w:rsidR="00E73975" w:rsidRPr="005113F5" w:rsidRDefault="00D33618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e-mail:</w:t>
      </w:r>
      <w:r w:rsidRPr="005113F5">
        <w:rPr>
          <w:rFonts w:ascii="Arial" w:hAnsi="Arial" w:cs="Arial"/>
        </w:rPr>
        <w:tab/>
      </w:r>
    </w:p>
    <w:p w14:paraId="7FCD2973" w14:textId="77777777" w:rsidR="00E73975" w:rsidRPr="00F546FF" w:rsidRDefault="00E73975" w:rsidP="004C6C8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480" w:lineRule="auto"/>
        <w:ind w:right="32"/>
        <w:jc w:val="both"/>
        <w:rPr>
          <w:rFonts w:ascii="Arial" w:hAnsi="Arial" w:cs="Arial"/>
          <w:sz w:val="22"/>
          <w:szCs w:val="22"/>
        </w:rPr>
      </w:pPr>
    </w:p>
    <w:p w14:paraId="7CBC0FBE" w14:textId="77777777" w:rsidR="00F546FF" w:rsidRPr="00F546FF" w:rsidRDefault="00D33618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Predmet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46FF">
        <w:rPr>
          <w:rFonts w:ascii="Arial" w:hAnsi="Arial" w:cs="Arial"/>
          <w:sz w:val="22"/>
          <w:szCs w:val="22"/>
          <w:lang w:val="en-US"/>
        </w:rPr>
        <w:t>obstarávania</w:t>
      </w:r>
      <w:proofErr w:type="spellEnd"/>
      <w:r w:rsidRPr="00F546FF">
        <w:rPr>
          <w:rFonts w:ascii="Arial" w:hAnsi="Arial" w:cs="Arial"/>
          <w:sz w:val="22"/>
          <w:szCs w:val="22"/>
          <w:lang w:val="en-US"/>
        </w:rPr>
        <w:t xml:space="preserve">: </w:t>
      </w:r>
      <w:r w:rsidR="006D6FEC" w:rsidRPr="00F546F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5B4ECAD" w14:textId="77777777" w:rsidR="00F546FF" w:rsidRPr="00F546FF" w:rsidRDefault="006D6FEC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z w:val="22"/>
          <w:szCs w:val="22"/>
          <w:lang w:val="en-US"/>
        </w:rPr>
      </w:pPr>
      <w:r w:rsidRPr="00F546FF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18E87E0B" w14:textId="77777777" w:rsidR="002B1C51" w:rsidRPr="00DC3E18" w:rsidRDefault="004C6C82" w:rsidP="00F546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i/>
          <w:kern w:val="28"/>
          <w:sz w:val="24"/>
          <w:szCs w:val="24"/>
        </w:rPr>
      </w:pPr>
      <w:proofErr w:type="spellStart"/>
      <w:r w:rsidRPr="004C6C82">
        <w:rPr>
          <w:rFonts w:ascii="Arial" w:hAnsi="Arial" w:cs="Arial"/>
          <w:b/>
          <w:i/>
          <w:sz w:val="24"/>
          <w:szCs w:val="24"/>
          <w:lang w:val="en-US"/>
        </w:rPr>
        <w:t>Vybudovanie</w:t>
      </w:r>
      <w:proofErr w:type="spellEnd"/>
      <w:r w:rsidRPr="004C6C82">
        <w:rPr>
          <w:rFonts w:ascii="Arial" w:hAnsi="Arial" w:cs="Arial"/>
          <w:b/>
          <w:i/>
          <w:sz w:val="24"/>
          <w:szCs w:val="24"/>
          <w:lang w:val="en-US"/>
        </w:rPr>
        <w:t xml:space="preserve"> fotovoltaickej </w:t>
      </w:r>
      <w:proofErr w:type="spellStart"/>
      <w:r w:rsidRPr="004C6C82">
        <w:rPr>
          <w:rFonts w:ascii="Arial" w:hAnsi="Arial" w:cs="Arial"/>
          <w:b/>
          <w:i/>
          <w:sz w:val="24"/>
          <w:szCs w:val="24"/>
          <w:lang w:val="en-US"/>
        </w:rPr>
        <w:t>elektrárne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326"/>
        <w:gridCol w:w="1937"/>
        <w:gridCol w:w="1937"/>
        <w:gridCol w:w="1938"/>
      </w:tblGrid>
      <w:tr w:rsidR="00FB161A" w:rsidRPr="00FB161A" w14:paraId="07931F37" w14:textId="77777777" w:rsidTr="00450878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3A1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173D7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both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Objekt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5DC78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Cena bez DPH</w:t>
            </w:r>
          </w:p>
          <w:p w14:paraId="15C7A783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FDBF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DPH</w:t>
            </w:r>
          </w:p>
          <w:p w14:paraId="5B2041DB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>eur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B549B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Cena s DPH </w:t>
            </w:r>
          </w:p>
          <w:p w14:paraId="1F39CDA6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  <w:r w:rsidRPr="00FB161A">
              <w:rPr>
                <w:rFonts w:ascii="Arial" w:hAnsi="Arial" w:cs="Arial"/>
              </w:rPr>
              <w:t xml:space="preserve">              eur</w:t>
            </w:r>
          </w:p>
        </w:tc>
      </w:tr>
      <w:tr w:rsidR="00FB161A" w:rsidRPr="004C6C82" w14:paraId="2D6D4DA5" w14:textId="77777777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4684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F02" w14:textId="77777777" w:rsidR="00FB161A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Dodávka elektrárne</w:t>
            </w:r>
            <w:r w:rsidR="00FB161A" w:rsidRPr="004C6C8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35CD62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152AC1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15F538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4C6C82" w14:paraId="70E441A5" w14:textId="77777777" w:rsidTr="004C6C82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6C9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7B0AC" w14:textId="77777777" w:rsidR="00FB161A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Inštalovaný výkon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A6A7" w14:textId="77777777" w:rsidR="00FB161A" w:rsidRPr="004C6C82" w:rsidRDefault="00FB161A" w:rsidP="004C6C82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32B4A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06876" w14:textId="60AE9E9B" w:rsidR="00FB161A" w:rsidRPr="004C6C82" w:rsidRDefault="004C6C82" w:rsidP="004C6C82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jc w:val="center"/>
              <w:rPr>
                <w:rFonts w:ascii="Arial" w:hAnsi="Arial" w:cs="Arial"/>
              </w:rPr>
            </w:pPr>
            <w:r w:rsidRPr="004C6C82">
              <w:rPr>
                <w:rFonts w:ascii="Arial" w:hAnsi="Arial" w:cs="Arial"/>
              </w:rPr>
              <w:t>W</w:t>
            </w:r>
          </w:p>
        </w:tc>
      </w:tr>
      <w:tr w:rsidR="004C6C82" w:rsidRPr="004C6C82" w14:paraId="445D4273" w14:textId="77777777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B6B" w14:textId="77777777"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80A" w14:textId="77777777" w:rsidR="004C6C82" w:rsidRPr="004C6C82" w:rsidRDefault="00450878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1E53" w14:textId="77777777"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3360F" w14:textId="77777777"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4DCA78" w14:textId="77777777" w:rsidR="004C6C82" w:rsidRPr="004C6C82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  <w:tr w:rsidR="00FB161A" w:rsidRPr="00FB161A" w14:paraId="14597E9B" w14:textId="77777777" w:rsidTr="00AD2F5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C23" w14:textId="77777777" w:rsidR="00FB161A" w:rsidRPr="004C6C82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93B2" w14:textId="28895EFF" w:rsidR="00FB161A" w:rsidRPr="00FB161A" w:rsidRDefault="004C6C82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  <w:b/>
              </w:rPr>
            </w:pPr>
            <w:r w:rsidRPr="004C6C82">
              <w:rPr>
                <w:rFonts w:ascii="Arial" w:hAnsi="Arial" w:cs="Arial"/>
                <w:b/>
              </w:rPr>
              <w:t>Pomerový koeficient  (</w:t>
            </w:r>
            <w:r w:rsidR="007B325E">
              <w:rPr>
                <w:rFonts w:ascii="Arial" w:hAnsi="Arial" w:cs="Arial"/>
                <w:b/>
              </w:rPr>
              <w:t>x=</w:t>
            </w:r>
            <w:r w:rsidRPr="004C6C82">
              <w:rPr>
                <w:rFonts w:ascii="Arial" w:hAnsi="Arial" w:cs="Arial"/>
                <w:b/>
              </w:rPr>
              <w:t>cena/P1)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9EA5C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084F7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9E4C1" w14:textId="77777777" w:rsidR="00FB161A" w:rsidRPr="00FB161A" w:rsidRDefault="00FB161A" w:rsidP="00FB161A">
            <w:pPr>
              <w:widowControl w:val="0"/>
              <w:tabs>
                <w:tab w:val="left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left="709" w:right="32" w:hanging="709"/>
              <w:rPr>
                <w:rFonts w:ascii="Arial" w:hAnsi="Arial" w:cs="Arial"/>
              </w:rPr>
            </w:pPr>
          </w:p>
        </w:tc>
      </w:tr>
    </w:tbl>
    <w:p w14:paraId="485AC684" w14:textId="77777777" w:rsidR="00D33618" w:rsidRDefault="00D33618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5D7E975C" w14:textId="77777777"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5C81835B" w14:textId="77777777" w:rsidR="002B1C51" w:rsidRPr="00AE1048" w:rsidRDefault="00AD2F57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  <w:rPr>
          <w:rFonts w:ascii="Arial" w:hAnsi="Arial" w:cs="Arial"/>
          <w:sz w:val="24"/>
          <w:szCs w:val="24"/>
        </w:rPr>
      </w:pPr>
      <w:r w:rsidRPr="00AE1048">
        <w:rPr>
          <w:rFonts w:ascii="Arial" w:hAnsi="Arial" w:cs="Arial"/>
          <w:b/>
          <w:sz w:val="24"/>
          <w:szCs w:val="24"/>
        </w:rPr>
        <w:t>Upozornenie:</w:t>
      </w:r>
      <w:r w:rsidRPr="00AE1048">
        <w:rPr>
          <w:rFonts w:ascii="Arial" w:hAnsi="Arial" w:cs="Arial"/>
          <w:sz w:val="24"/>
          <w:szCs w:val="24"/>
        </w:rPr>
        <w:t xml:space="preserve"> Uchádzač vypĺňa okienka označené žltou farbou.</w:t>
      </w:r>
    </w:p>
    <w:p w14:paraId="6F991937" w14:textId="77777777"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5F69470B" w14:textId="77777777"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64D758C5" w14:textId="77777777"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34756D5C" w14:textId="77777777" w:rsidR="002B1C51" w:rsidRDefault="002B1C51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709" w:right="32" w:hanging="709"/>
        <w:jc w:val="both"/>
      </w:pPr>
    </w:p>
    <w:p w14:paraId="17F13C90" w14:textId="77777777" w:rsidR="00A502E1" w:rsidRDefault="00A502E1" w:rsidP="00A502E1">
      <w:pPr>
        <w:autoSpaceDN w:val="0"/>
        <w:ind w:right="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Uchádzač zároveň prehlasuje, že:</w:t>
      </w:r>
    </w:p>
    <w:p w14:paraId="1CAD277F" w14:textId="77777777"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súhlasí s návrhom zmluvy o dielo predloženého obstarávateľom, </w:t>
      </w:r>
    </w:p>
    <w:p w14:paraId="39D0FC0B" w14:textId="77777777"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 xml:space="preserve">porozumel týmto súťažným podkladom, </w:t>
      </w:r>
    </w:p>
    <w:p w14:paraId="216201B9" w14:textId="77777777" w:rsidR="00A502E1" w:rsidRPr="00A502E1" w:rsidRDefault="00A502E1" w:rsidP="00A502E1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rešpektuje etický kódex vo verejnom obstarávaní podľa pod hrozbou porušenia profesijných povinností (porušenie kódexu je považované za pokus o neoprávnené ovplyvnenie postupu verejného obstarávania),</w:t>
      </w:r>
    </w:p>
    <w:p w14:paraId="47E8D3DF" w14:textId="77777777" w:rsidR="00A502E1" w:rsidRPr="00AE1048" w:rsidRDefault="00A502E1" w:rsidP="00AE1048">
      <w:pPr>
        <w:numPr>
          <w:ilvl w:val="0"/>
          <w:numId w:val="5"/>
        </w:numPr>
        <w:suppressAutoHyphens w:val="0"/>
        <w:autoSpaceDE/>
        <w:spacing w:before="100" w:beforeAutospacing="1" w:after="100" w:afterAutospacing="1"/>
        <w:ind w:right="23"/>
        <w:rPr>
          <w:rFonts w:ascii="Arial" w:hAnsi="Arial" w:cs="Arial"/>
          <w:lang w:eastAsia="sk-SK"/>
        </w:rPr>
      </w:pPr>
      <w:r w:rsidRPr="00A502E1">
        <w:rPr>
          <w:rFonts w:ascii="Arial" w:hAnsi="Arial" w:cs="Arial"/>
          <w:lang w:eastAsia="sk-SK"/>
        </w:rPr>
        <w:t>súhlasí s podmienkami určenými verejným obstarávateľom v tejto súťaži.</w:t>
      </w:r>
    </w:p>
    <w:p w14:paraId="4A14FEA8" w14:textId="77777777" w:rsidR="00FB161A" w:rsidRPr="005113F5" w:rsidRDefault="00FB161A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227A5B69" w14:textId="77777777" w:rsidR="005113F5" w:rsidRDefault="005113F5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14:paraId="4B117F98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7958C9C0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5E40BB4A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745DFF7D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551F570B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2E5B2BEC" w14:textId="77777777" w:rsidR="00A502E1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7AB0B7ED" w14:textId="77777777" w:rsidR="00A502E1" w:rsidRPr="005113F5" w:rsidRDefault="00A502E1" w:rsidP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01456017" w14:textId="13BB486F" w:rsidR="00984308" w:rsidRDefault="005113F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13F5">
        <w:rPr>
          <w:rFonts w:ascii="Arial" w:hAnsi="Arial" w:cs="Arial"/>
        </w:rPr>
        <w:t>pečiatka a podpis štatutárneho zástupcu</w:t>
      </w:r>
    </w:p>
    <w:p w14:paraId="12D6987A" w14:textId="5FA3201F" w:rsidR="00F14F2E" w:rsidRPr="00885F39" w:rsidRDefault="00F14F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</w:rPr>
      </w:pPr>
      <w:r w:rsidRPr="00885F39">
        <w:rPr>
          <w:rFonts w:ascii="Arial" w:hAnsi="Arial" w:cs="Arial"/>
          <w:b/>
        </w:rPr>
        <w:lastRenderedPageBreak/>
        <w:t>Cenová kalkulácia – položkový rozpis cien nosných komponentov (bez DPH):</w:t>
      </w:r>
    </w:p>
    <w:p w14:paraId="251F3672" w14:textId="39786DB6" w:rsidR="00F14F2E" w:rsidRDefault="00F14F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1488"/>
        <w:gridCol w:w="2372"/>
        <w:gridCol w:w="2372"/>
      </w:tblGrid>
      <w:tr w:rsidR="00F14F2E" w14:paraId="1A868FDF" w14:textId="77777777" w:rsidTr="002A5D49">
        <w:tc>
          <w:tcPr>
            <w:tcW w:w="3256" w:type="dxa"/>
          </w:tcPr>
          <w:p w14:paraId="3BE8CA22" w14:textId="38ACBF1E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  <w:r w:rsidRPr="00F14F2E">
              <w:rPr>
                <w:rFonts w:ascii="Arial" w:hAnsi="Arial" w:cs="Arial"/>
                <w:b/>
              </w:rPr>
              <w:t xml:space="preserve">Položka </w:t>
            </w:r>
            <w:r w:rsidR="004278B0">
              <w:rPr>
                <w:rFonts w:ascii="Arial" w:hAnsi="Arial" w:cs="Arial"/>
                <w:b/>
              </w:rPr>
              <w:t>–</w:t>
            </w:r>
            <w:r w:rsidRPr="00F14F2E">
              <w:rPr>
                <w:rFonts w:ascii="Arial" w:hAnsi="Arial" w:cs="Arial"/>
                <w:b/>
              </w:rPr>
              <w:t xml:space="preserve"> názov</w:t>
            </w:r>
          </w:p>
          <w:p w14:paraId="06217CEF" w14:textId="0BE3C427" w:rsidR="004278B0" w:rsidRPr="00F14F2E" w:rsidRDefault="004278B0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</w:tcPr>
          <w:p w14:paraId="4DC29A31" w14:textId="33AA4AE5" w:rsidR="00F14F2E" w:rsidRPr="00F14F2E" w:rsidRDefault="002A5D49" w:rsidP="002A5D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Jednot</w:t>
            </w:r>
            <w:r w:rsidR="00F14F2E" w:rsidRPr="00F14F2E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ov</w:t>
            </w:r>
            <w:bookmarkStart w:id="0" w:name="_GoBack"/>
            <w:bookmarkEnd w:id="0"/>
            <w:r w:rsidR="00F14F2E" w:rsidRPr="00F14F2E">
              <w:rPr>
                <w:rFonts w:ascii="Arial" w:hAnsi="Arial" w:cs="Arial"/>
                <w:b/>
              </w:rPr>
              <w:t>á cena (EUR)</w:t>
            </w:r>
          </w:p>
        </w:tc>
        <w:tc>
          <w:tcPr>
            <w:tcW w:w="2372" w:type="dxa"/>
          </w:tcPr>
          <w:p w14:paraId="3DA21A93" w14:textId="2C6D6A23" w:rsidR="00F14F2E" w:rsidRPr="00F14F2E" w:rsidRDefault="00F14F2E" w:rsidP="002A5D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center"/>
              <w:rPr>
                <w:rFonts w:ascii="Arial" w:hAnsi="Arial" w:cs="Arial"/>
                <w:b/>
              </w:rPr>
            </w:pPr>
            <w:r w:rsidRPr="00F14F2E">
              <w:rPr>
                <w:rFonts w:ascii="Arial" w:hAnsi="Arial" w:cs="Arial"/>
                <w:b/>
              </w:rPr>
              <w:t>Počet ks</w:t>
            </w:r>
          </w:p>
        </w:tc>
        <w:tc>
          <w:tcPr>
            <w:tcW w:w="2372" w:type="dxa"/>
          </w:tcPr>
          <w:p w14:paraId="0EE24BE7" w14:textId="7947A56D" w:rsidR="00F14F2E" w:rsidRPr="00F14F2E" w:rsidRDefault="00F14F2E" w:rsidP="002A5D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center"/>
              <w:rPr>
                <w:rFonts w:ascii="Arial" w:hAnsi="Arial" w:cs="Arial"/>
                <w:b/>
              </w:rPr>
            </w:pPr>
            <w:r w:rsidRPr="00F14F2E">
              <w:rPr>
                <w:rFonts w:ascii="Arial" w:hAnsi="Arial" w:cs="Arial"/>
                <w:b/>
              </w:rPr>
              <w:t>Celková cena (EUR)</w:t>
            </w:r>
          </w:p>
        </w:tc>
      </w:tr>
      <w:tr w:rsidR="00F14F2E" w14:paraId="0CD3FA2B" w14:textId="77777777" w:rsidTr="002A5D49">
        <w:trPr>
          <w:trHeight w:val="383"/>
        </w:trPr>
        <w:tc>
          <w:tcPr>
            <w:tcW w:w="3256" w:type="dxa"/>
          </w:tcPr>
          <w:p w14:paraId="462EC90D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  <w:r w:rsidRPr="004278B0">
              <w:rPr>
                <w:rFonts w:ascii="Arial" w:hAnsi="Arial" w:cs="Arial"/>
                <w:b/>
              </w:rPr>
              <w:t>FTV panel</w:t>
            </w:r>
          </w:p>
          <w:p w14:paraId="374A2545" w14:textId="35F9AB56" w:rsidR="004278B0" w:rsidRPr="004278B0" w:rsidRDefault="004278B0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shd w:val="clear" w:color="auto" w:fill="FFFF00"/>
          </w:tcPr>
          <w:p w14:paraId="328497F1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23C5C428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7502F092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</w:tr>
      <w:tr w:rsidR="00F14F2E" w14:paraId="5C15CB96" w14:textId="77777777" w:rsidTr="002A5D49">
        <w:trPr>
          <w:trHeight w:val="417"/>
        </w:trPr>
        <w:tc>
          <w:tcPr>
            <w:tcW w:w="3256" w:type="dxa"/>
          </w:tcPr>
          <w:p w14:paraId="185CAA30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  <w:r w:rsidRPr="004278B0">
              <w:rPr>
                <w:rFonts w:ascii="Arial" w:hAnsi="Arial" w:cs="Arial"/>
                <w:b/>
              </w:rPr>
              <w:t>Menič</w:t>
            </w:r>
          </w:p>
          <w:p w14:paraId="3B30F11A" w14:textId="0D1C790D" w:rsidR="004278B0" w:rsidRPr="004278B0" w:rsidRDefault="004278B0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shd w:val="clear" w:color="auto" w:fill="FFFF00"/>
          </w:tcPr>
          <w:p w14:paraId="5F9E5619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5859ED40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0CEF86DF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</w:tr>
      <w:tr w:rsidR="00F14F2E" w14:paraId="74E0EDD9" w14:textId="77777777" w:rsidTr="002A5D49">
        <w:trPr>
          <w:trHeight w:val="409"/>
        </w:trPr>
        <w:tc>
          <w:tcPr>
            <w:tcW w:w="3256" w:type="dxa"/>
          </w:tcPr>
          <w:p w14:paraId="787520B9" w14:textId="6D450D4F" w:rsidR="00F14F2E" w:rsidRDefault="004278B0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  <w:r w:rsidRPr="004278B0">
              <w:rPr>
                <w:rFonts w:ascii="Arial" w:hAnsi="Arial" w:cs="Arial"/>
                <w:b/>
              </w:rPr>
              <w:t>I</w:t>
            </w:r>
            <w:r w:rsidR="00F14F2E" w:rsidRPr="004278B0">
              <w:rPr>
                <w:rFonts w:ascii="Arial" w:hAnsi="Arial" w:cs="Arial"/>
                <w:b/>
              </w:rPr>
              <w:t>nfopanel</w:t>
            </w:r>
          </w:p>
          <w:p w14:paraId="4B302AA2" w14:textId="754BCFF0" w:rsidR="004278B0" w:rsidRPr="004278B0" w:rsidRDefault="004278B0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shd w:val="clear" w:color="auto" w:fill="FFFF00"/>
          </w:tcPr>
          <w:p w14:paraId="11E06D55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69CF1F9B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49FC7352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</w:tr>
      <w:tr w:rsidR="00F14F2E" w14:paraId="33115F20" w14:textId="77777777" w:rsidTr="002A5D49">
        <w:tc>
          <w:tcPr>
            <w:tcW w:w="3256" w:type="dxa"/>
          </w:tcPr>
          <w:p w14:paraId="752AE0BD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  <w:r w:rsidRPr="004278B0">
              <w:rPr>
                <w:rFonts w:ascii="Arial" w:hAnsi="Arial" w:cs="Arial"/>
                <w:b/>
              </w:rPr>
              <w:t>Systém monitoringu</w:t>
            </w:r>
            <w:r w:rsidR="004278B0" w:rsidRPr="004278B0">
              <w:rPr>
                <w:rFonts w:ascii="Arial" w:hAnsi="Arial" w:cs="Arial"/>
                <w:b/>
              </w:rPr>
              <w:t xml:space="preserve"> výroby</w:t>
            </w:r>
          </w:p>
          <w:p w14:paraId="74118E99" w14:textId="7AF070F8" w:rsidR="002A5D49" w:rsidRPr="004278B0" w:rsidRDefault="002A5D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shd w:val="clear" w:color="auto" w:fill="FFFF00"/>
          </w:tcPr>
          <w:p w14:paraId="60986BA8" w14:textId="77777777" w:rsidR="00F14F2E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372" w:type="dxa"/>
            <w:shd w:val="clear" w:color="auto" w:fill="FFFF00"/>
          </w:tcPr>
          <w:p w14:paraId="5266F169" w14:textId="77777777" w:rsidR="00F14F2E" w:rsidRPr="004278B0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372" w:type="dxa"/>
            <w:shd w:val="clear" w:color="auto" w:fill="FFFF00"/>
          </w:tcPr>
          <w:p w14:paraId="524819C4" w14:textId="77777777" w:rsidR="00F14F2E" w:rsidRPr="004278B0" w:rsidRDefault="00F14F2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ind w:right="32"/>
              <w:jc w:val="both"/>
              <w:rPr>
                <w:rFonts w:ascii="Arial" w:hAnsi="Arial" w:cs="Arial"/>
                <w:highlight w:val="lightGray"/>
              </w:rPr>
            </w:pPr>
          </w:p>
        </w:tc>
      </w:tr>
    </w:tbl>
    <w:p w14:paraId="5C159EBB" w14:textId="77777777" w:rsidR="00F14F2E" w:rsidRDefault="00F14F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0F5E9164" w14:textId="6F9506DC" w:rsidR="00F14F2E" w:rsidRDefault="004278B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>Nejde o kompletný výkaz-výmer, jedná sa o nosné komponenty a možné opakujúce sa práce.</w:t>
      </w:r>
    </w:p>
    <w:p w14:paraId="2DFFC127" w14:textId="77777777" w:rsidR="00F14F2E" w:rsidRDefault="00F14F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sectPr w:rsidR="00F14F2E" w:rsidSect="00984308">
      <w:headerReference w:type="default" r:id="rId7"/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A0A20" w14:textId="77777777" w:rsidR="003C536C" w:rsidRDefault="003C536C" w:rsidP="00993D6D">
      <w:r>
        <w:separator/>
      </w:r>
    </w:p>
  </w:endnote>
  <w:endnote w:type="continuationSeparator" w:id="0">
    <w:p w14:paraId="6DF085BF" w14:textId="77777777" w:rsidR="003C536C" w:rsidRDefault="003C536C" w:rsidP="0099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46EF" w14:textId="77777777" w:rsidR="003C536C" w:rsidRDefault="003C536C" w:rsidP="00993D6D">
      <w:r>
        <w:separator/>
      </w:r>
    </w:p>
  </w:footnote>
  <w:footnote w:type="continuationSeparator" w:id="0">
    <w:p w14:paraId="0F54D5CC" w14:textId="77777777" w:rsidR="003C536C" w:rsidRDefault="003C536C" w:rsidP="0099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ECA6" w14:textId="48853602" w:rsidR="00993D6D" w:rsidRDefault="00993D6D">
    <w:pPr>
      <w:pStyle w:val="Hlavika"/>
    </w:pPr>
    <w:r>
      <w:t>Príloha č. 2</w:t>
    </w:r>
  </w:p>
  <w:p w14:paraId="0B11C09E" w14:textId="77777777" w:rsidR="00993D6D" w:rsidRDefault="00993D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F1"/>
    <w:rsid w:val="000A5DCF"/>
    <w:rsid w:val="000E2A06"/>
    <w:rsid w:val="000E68F7"/>
    <w:rsid w:val="001C0E58"/>
    <w:rsid w:val="00245BB0"/>
    <w:rsid w:val="0025277D"/>
    <w:rsid w:val="00292E39"/>
    <w:rsid w:val="002A1B1C"/>
    <w:rsid w:val="002A5D49"/>
    <w:rsid w:val="002B1C51"/>
    <w:rsid w:val="0037318B"/>
    <w:rsid w:val="003818C1"/>
    <w:rsid w:val="003C536C"/>
    <w:rsid w:val="004225F1"/>
    <w:rsid w:val="004278B0"/>
    <w:rsid w:val="00437AEA"/>
    <w:rsid w:val="00450878"/>
    <w:rsid w:val="004A56E2"/>
    <w:rsid w:val="004C6C82"/>
    <w:rsid w:val="004D1C73"/>
    <w:rsid w:val="005113F5"/>
    <w:rsid w:val="00653BD1"/>
    <w:rsid w:val="006617ED"/>
    <w:rsid w:val="006D4E3E"/>
    <w:rsid w:val="006D6FEC"/>
    <w:rsid w:val="0073224C"/>
    <w:rsid w:val="00745855"/>
    <w:rsid w:val="007B325E"/>
    <w:rsid w:val="007E3CEC"/>
    <w:rsid w:val="00801590"/>
    <w:rsid w:val="00832C36"/>
    <w:rsid w:val="00883CEC"/>
    <w:rsid w:val="00884787"/>
    <w:rsid w:val="00885F39"/>
    <w:rsid w:val="008E2510"/>
    <w:rsid w:val="00901063"/>
    <w:rsid w:val="00916708"/>
    <w:rsid w:val="00917186"/>
    <w:rsid w:val="00924BCF"/>
    <w:rsid w:val="00975B0E"/>
    <w:rsid w:val="00984308"/>
    <w:rsid w:val="0098517A"/>
    <w:rsid w:val="00993D6D"/>
    <w:rsid w:val="00A502E1"/>
    <w:rsid w:val="00A55635"/>
    <w:rsid w:val="00A62A1F"/>
    <w:rsid w:val="00AA7334"/>
    <w:rsid w:val="00AB3C81"/>
    <w:rsid w:val="00AD2F57"/>
    <w:rsid w:val="00AD3755"/>
    <w:rsid w:val="00AE1048"/>
    <w:rsid w:val="00B76994"/>
    <w:rsid w:val="00C7315D"/>
    <w:rsid w:val="00CB2825"/>
    <w:rsid w:val="00CC0C5E"/>
    <w:rsid w:val="00D144C6"/>
    <w:rsid w:val="00D33618"/>
    <w:rsid w:val="00D92870"/>
    <w:rsid w:val="00DC3E18"/>
    <w:rsid w:val="00DE3007"/>
    <w:rsid w:val="00E2027D"/>
    <w:rsid w:val="00E659FD"/>
    <w:rsid w:val="00E73975"/>
    <w:rsid w:val="00E848FA"/>
    <w:rsid w:val="00F14F2E"/>
    <w:rsid w:val="00F374E1"/>
    <w:rsid w:val="00F546FF"/>
    <w:rsid w:val="00F7584B"/>
    <w:rsid w:val="00FB161A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3CDBDD"/>
  <w15:docId w15:val="{7645D577-79E6-4043-84CC-78794ED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93D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3D6D"/>
    <w:rPr>
      <w:lang w:eastAsia="ar-SA"/>
    </w:rPr>
  </w:style>
  <w:style w:type="paragraph" w:styleId="Pta">
    <w:name w:val="footer"/>
    <w:basedOn w:val="Normlny"/>
    <w:link w:val="PtaChar"/>
    <w:uiPriority w:val="99"/>
    <w:unhideWhenUsed/>
    <w:rsid w:val="00993D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3D6D"/>
    <w:rPr>
      <w:lang w:eastAsia="ar-SA"/>
    </w:rPr>
  </w:style>
  <w:style w:type="table" w:styleId="Mriekatabuky">
    <w:name w:val="Table Grid"/>
    <w:basedOn w:val="Normlnatabuka"/>
    <w:uiPriority w:val="59"/>
    <w:rsid w:val="00F1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František Drgoň</cp:lastModifiedBy>
  <cp:revision>2</cp:revision>
  <cp:lastPrinted>1900-12-31T22:00:00Z</cp:lastPrinted>
  <dcterms:created xsi:type="dcterms:W3CDTF">2018-12-03T13:52:00Z</dcterms:created>
  <dcterms:modified xsi:type="dcterms:W3CDTF">2018-12-03T13:52:00Z</dcterms:modified>
</cp:coreProperties>
</file>