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00E4182F" w:rsidR="001D3D93" w:rsidRPr="006E3BAE" w:rsidRDefault="00F8685A" w:rsidP="001E6E6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 xml:space="preserve">„Podpora licencií na zabezpečenie </w:t>
      </w:r>
      <w:r w:rsidR="003116B6">
        <w:rPr>
          <w:rFonts w:ascii="Times New Roman" w:hAnsi="Times New Roman"/>
          <w:bCs/>
          <w:i/>
          <w:noProof/>
          <w:sz w:val="24"/>
          <w:szCs w:val="24"/>
        </w:rPr>
        <w:t xml:space="preserve">prevádzky informačného systému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Elektronické služby MZVEZ SR“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1E6E64">
        <w:rPr>
          <w:rFonts w:ascii="Times New Roman" w:hAnsi="Times New Roman"/>
          <w:bCs/>
          <w:i/>
          <w:noProof/>
          <w:sz w:val="24"/>
          <w:szCs w:val="24"/>
        </w:rPr>
        <w:t>3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31FA346D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F4AEE" w:rsidRPr="004259F3">
        <w:rPr>
          <w:rFonts w:ascii="Times New Roman" w:hAnsi="Times New Roman"/>
          <w:sz w:val="24"/>
          <w:szCs w:val="24"/>
        </w:rPr>
        <w:t xml:space="preserve">je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3116B6">
        <w:rPr>
          <w:rFonts w:ascii="Times New Roman" w:hAnsi="Times New Roman"/>
          <w:bCs/>
          <w:sz w:val="24"/>
          <w:szCs w:val="24"/>
        </w:rPr>
        <w:t xml:space="preserve">prevádzky informačného systému </w:t>
      </w:r>
      <w:r w:rsidR="00CF4AEE" w:rsidRPr="004259F3">
        <w:rPr>
          <w:rFonts w:ascii="Times New Roman" w:hAnsi="Times New Roman"/>
          <w:bCs/>
          <w:sz w:val="24"/>
          <w:szCs w:val="24"/>
        </w:rPr>
        <w:t>Elektronické služby MZVEZ SR</w:t>
      </w:r>
      <w:r w:rsidR="00CF4AEE" w:rsidRPr="004259F3">
        <w:rPr>
          <w:rFonts w:ascii="Times New Roman" w:hAnsi="Times New Roman"/>
          <w:sz w:val="24"/>
          <w:szCs w:val="24"/>
        </w:rPr>
        <w:t>“</w:t>
      </w:r>
      <w:r w:rsidR="00D111C1" w:rsidRPr="004259F3">
        <w:rPr>
          <w:rFonts w:ascii="Times New Roman" w:hAnsi="Times New Roman"/>
          <w:sz w:val="24"/>
          <w:szCs w:val="24"/>
        </w:rPr>
        <w:t xml:space="preserve"> uvedených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</w:t>
      </w:r>
      <w:bookmarkStart w:id="0" w:name="_GoBack"/>
      <w:bookmarkEnd w:id="0"/>
      <w:r w:rsidR="000509F7" w:rsidRPr="00096247">
        <w:rPr>
          <w:rFonts w:ascii="Times New Roman" w:hAnsi="Times New Roman"/>
          <w:b/>
          <w:sz w:val="24"/>
          <w:szCs w:val="24"/>
        </w:rPr>
        <w:t>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7"/>
        <w:gridCol w:w="1984"/>
        <w:gridCol w:w="1696"/>
        <w:gridCol w:w="1275"/>
        <w:gridCol w:w="1418"/>
        <w:gridCol w:w="2552"/>
      </w:tblGrid>
      <w:tr w:rsidR="00AE5ABF" w:rsidRPr="00F93997" w14:paraId="0D895B96" w14:textId="77777777" w:rsidTr="00A6084F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AE5ABF" w:rsidRPr="00F93997" w:rsidRDefault="00AE5ABF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AE5ABF" w:rsidRPr="00F93997" w:rsidRDefault="00AE5ABF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056F2B2" w:rsidR="00AE5ABF" w:rsidRPr="00F93997" w:rsidRDefault="00AE5ABF" w:rsidP="0096326E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0FB1C" w14:textId="6943DF7F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1E1E66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AE5ABF" w:rsidRPr="00F93997" w:rsidRDefault="00AE5ABF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6601D165" w:rsidR="00AE5ABF" w:rsidRPr="00F93997" w:rsidRDefault="00AE5ABF" w:rsidP="00FE2AFB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AE5ABF" w:rsidRPr="00F93997" w14:paraId="2BDBD150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E67E" w14:textId="536A0BB4" w:rsidR="00AE5ABF" w:rsidRPr="004259F3" w:rsidRDefault="00AE5ABF" w:rsidP="00FE2AF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Podpora pre existujúce licencie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, RHEL,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Enterprise Linux Server,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Enterprise Linux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for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Virtual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Datacenters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, Standard</w:t>
            </w:r>
          </w:p>
          <w:p w14:paraId="2BEAC266" w14:textId="4A97DBED" w:rsidR="00AE5ABF" w:rsidRPr="004259F3" w:rsidRDefault="00AE5ABF" w:rsidP="00FE2AF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Podpora pre existujúce licencie (úroveň štandard) zahŕňa:</w:t>
            </w:r>
          </w:p>
          <w:p w14:paraId="2C41EBE4" w14:textId="16203527" w:rsidR="00AE5ABF" w:rsidRPr="00FE2AFB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218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FE2AFB">
              <w:rPr>
                <w:rFonts w:ascii="Times New Roman" w:eastAsiaTheme="minorHAnsi" w:hAnsi="Times New Roman"/>
                <w:color w:val="000000"/>
              </w:rPr>
              <w:t xml:space="preserve">nepretržitý prístup k softvéru </w:t>
            </w:r>
            <w:proofErr w:type="spellStart"/>
            <w:r w:rsidRPr="00FE2AFB">
              <w:rPr>
                <w:rFonts w:ascii="Times New Roman" w:eastAsiaTheme="minorHAnsi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eastAsiaTheme="minorHAnsi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eastAsiaTheme="minorHAnsi" w:hAnsi="Times New Roman"/>
                <w:color w:val="000000"/>
              </w:rPr>
              <w:t>:</w:t>
            </w:r>
            <w:r w:rsidR="00E24B9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FE2AFB">
              <w:rPr>
                <w:rFonts w:ascii="Times New Roman" w:eastAsiaTheme="minorHAnsi" w:hAnsi="Times New Roman"/>
                <w:color w:val="000000"/>
              </w:rPr>
              <w:t>Záplaty, Opravy chýb, Aktualizácie, Upgrady (ďalej len „Softvér“)</w:t>
            </w:r>
          </w:p>
          <w:p w14:paraId="78035128" w14:textId="7B59A302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324D68BD" w14:textId="092D4A61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zabezpečenie záverečnej technickej kontroly Softvéru pred vydaním produktov</w:t>
            </w:r>
          </w:p>
          <w:p w14:paraId="5EB7E237" w14:textId="7BC30218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4F6E43BA" w14:textId="085B50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hardvéru kompatibilného so Softvérom</w:t>
            </w:r>
          </w:p>
          <w:p w14:paraId="5429180D" w14:textId="22929A87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softvéru kompatibilného so Softvérom</w:t>
            </w:r>
          </w:p>
          <w:p w14:paraId="478C90A0" w14:textId="2408AE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 xml:space="preserve">prístup k odborným znalostiam -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color w:val="000000"/>
              </w:rPr>
              <w:t xml:space="preserve"> riešenia problémov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dohľadateľné</w:t>
            </w:r>
            <w:proofErr w:type="spellEnd"/>
            <w:r w:rsidRPr="004259F3">
              <w:rPr>
                <w:rFonts w:ascii="Times New Roman" w:eastAsiaTheme="minorHAnsi" w:hAnsi="Times New Roman"/>
                <w:color w:val="000000"/>
              </w:rPr>
              <w:t xml:space="preserve"> v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Knowledgebase</w:t>
            </w:r>
            <w:proofErr w:type="spellEnd"/>
          </w:p>
          <w:p w14:paraId="76952529" w14:textId="5719DD59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5" w:hanging="195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služby technickej podpory Standard:</w:t>
            </w:r>
          </w:p>
          <w:p w14:paraId="52BF8A55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Hodiny pokrytia               Štandardné pracovné hodiny</w:t>
            </w:r>
          </w:p>
          <w:p w14:paraId="192AC336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 xml:space="preserve">Podporný kanál                 Web a telefón  </w:t>
            </w:r>
          </w:p>
          <w:p w14:paraId="5B44871B" w14:textId="34A257FA" w:rsidR="00AE5ABF" w:rsidRPr="001E6E64" w:rsidRDefault="00AE5ABF" w:rsidP="00FE2AFB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Počet prípadov                 neobmedzený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6A542F2A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E6E64">
              <w:rPr>
                <w:rFonts w:ascii="Times New Roman" w:eastAsiaTheme="minorHAnsi" w:hAnsi="Times New Roman"/>
                <w:color w:val="000000"/>
              </w:rPr>
              <w:t>30.11.2022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DCB" w14:textId="4258151D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612E22A8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29D7B5EF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6C17" w14:textId="77777777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Podpora pre existujúce licencie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, RHEL,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Enterprise Linux Server, Standard  (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Physical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or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Virtual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Nodes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  <w:p w14:paraId="08A440A2" w14:textId="77777777" w:rsidR="00AE5ABF" w:rsidRDefault="00AE5ABF" w:rsidP="00FE2AF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B7B5D93" w14:textId="0C3D9D0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nepretržitý prístup k softvéru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>: Záplaty, Opravy chýb, Aktualizácie, Upgrady (ďalej len „Softvér“)</w:t>
            </w:r>
          </w:p>
          <w:p w14:paraId="543400AB" w14:textId="7840C85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06E8B9DC" w14:textId="2FC78744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644B9E4B" w14:textId="66D5132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0246BA45" w14:textId="59AED747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0C665A5A" w14:textId="6FB3330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0BF9179C" w14:textId="7345D04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prístup k odborným znalostiam -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riešenia problémov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dohľadateľné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v 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Knowledgebase</w:t>
            </w:r>
            <w:proofErr w:type="spellEnd"/>
          </w:p>
          <w:p w14:paraId="174DC755" w14:textId="6F0C71A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line="240" w:lineRule="auto"/>
              <w:ind w:left="190" w:hanging="19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1600FAE2" w14:textId="77777777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78AAE997" w14:textId="62865633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5706159A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63FA2B2D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</w:p>
          <w:p w14:paraId="5FFB83D8" w14:textId="0A185ED1" w:rsidR="00AE5ABF" w:rsidRPr="00FE2AFB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E08A" w14:textId="49EC4A1B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E6E64">
              <w:rPr>
                <w:rFonts w:ascii="Times New Roman" w:eastAsiaTheme="minorHAnsi" w:hAnsi="Times New Roman"/>
                <w:color w:val="000000"/>
              </w:rPr>
              <w:t>30.11.2022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C2" w14:textId="038E5157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5B8AAAC3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8EF7CA5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AC35" w14:textId="3601544A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Podpora pre existujúce licencie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Middleware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JBoss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Enterprise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Application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Platform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>, 64-Core Standard</w:t>
            </w:r>
          </w:p>
          <w:p w14:paraId="3EF59633" w14:textId="7777777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2FA56BC" w14:textId="7D2D766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nepretržitý prístup k softvéru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E2AFB">
              <w:rPr>
                <w:rFonts w:ascii="Times New Roman" w:hAnsi="Times New Roman"/>
                <w:color w:val="000000"/>
              </w:rPr>
              <w:t>Záplaty, Opravy chýb, Aktualizácie, Upgrady (ďalej len „Softvér“)</w:t>
            </w:r>
          </w:p>
          <w:p w14:paraId="35AC707C" w14:textId="0F1F65FF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2E2920AA" w14:textId="3BC0D9F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0E899E1C" w14:textId="6B65CFF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6E823C7B" w14:textId="08C9B7B4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1C200335" w14:textId="25016BEB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7413CA90" w14:textId="721AEF16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prístup k odborným znalostiam -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riešenia problémov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dohľadateľné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v 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Knowledgebase</w:t>
            </w:r>
            <w:proofErr w:type="spellEnd"/>
          </w:p>
          <w:p w14:paraId="3625F90E" w14:textId="7A7D4C2D" w:rsidR="00AE5ABF" w:rsidRPr="00FE2AFB" w:rsidRDefault="00AE5ABF" w:rsidP="00FE2AFB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4EB23649" w14:textId="77777777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4DECFAD1" w14:textId="644BF0A3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2AE45F7F" w14:textId="03FAF746" w:rsidR="00AE5ABF" w:rsidRPr="0096326E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55760D9C" w14:textId="525C2661" w:rsidR="00AE5ABF" w:rsidRPr="0096326E" w:rsidRDefault="00AE5ABF" w:rsidP="0096326E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4F9CE" w14:textId="1DEFB4E9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E6E64">
              <w:rPr>
                <w:rFonts w:ascii="Times New Roman" w:eastAsiaTheme="minorHAnsi" w:hAnsi="Times New Roman"/>
                <w:color w:val="000000"/>
              </w:rPr>
              <w:t>30.11.2022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A57" w14:textId="203A57E0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MW0186831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507F4639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10C4C65" w14:textId="04860916" w:rsidTr="00A6084F">
        <w:trPr>
          <w:gridAfter w:val="4"/>
          <w:wAfter w:w="6941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E5ABF" w:rsidRPr="00F93997" w14:paraId="3B052AD5" w14:textId="079C4D6D" w:rsidTr="00A6084F">
        <w:trPr>
          <w:gridAfter w:val="4"/>
          <w:wAfter w:w="6941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6E7A3D19" w:rsidR="00ED03D1" w:rsidRPr="00F93997" w:rsidRDefault="0096326E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6FE13054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116B6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116B6">
      <w:rPr>
        <w:rFonts w:ascii="Times New Roman" w:hAnsi="Times New Roman"/>
        <w:bCs/>
        <w:noProof/>
      </w:rPr>
      <w:t>14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3116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3116B6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3116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3116B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77777777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3116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47"/>
  </w:num>
  <w:num w:numId="3">
    <w:abstractNumId w:val="4"/>
  </w:num>
  <w:num w:numId="4">
    <w:abstractNumId w:val="38"/>
  </w:num>
  <w:num w:numId="5">
    <w:abstractNumId w:val="22"/>
  </w:num>
  <w:num w:numId="6">
    <w:abstractNumId w:val="40"/>
  </w:num>
  <w:num w:numId="7">
    <w:abstractNumId w:val="8"/>
  </w:num>
  <w:num w:numId="8">
    <w:abstractNumId w:val="44"/>
  </w:num>
  <w:num w:numId="9">
    <w:abstractNumId w:val="16"/>
  </w:num>
  <w:num w:numId="10">
    <w:abstractNumId w:val="39"/>
  </w:num>
  <w:num w:numId="11">
    <w:abstractNumId w:val="10"/>
  </w:num>
  <w:num w:numId="12">
    <w:abstractNumId w:val="26"/>
  </w:num>
  <w:num w:numId="13">
    <w:abstractNumId w:val="37"/>
  </w:num>
  <w:num w:numId="14">
    <w:abstractNumId w:val="20"/>
  </w:num>
  <w:num w:numId="15">
    <w:abstractNumId w:val="46"/>
  </w:num>
  <w:num w:numId="16">
    <w:abstractNumId w:val="29"/>
  </w:num>
  <w:num w:numId="17">
    <w:abstractNumId w:val="25"/>
  </w:num>
  <w:num w:numId="18">
    <w:abstractNumId w:val="9"/>
  </w:num>
  <w:num w:numId="19">
    <w:abstractNumId w:val="17"/>
  </w:num>
  <w:num w:numId="20">
    <w:abstractNumId w:val="6"/>
  </w:num>
  <w:num w:numId="21">
    <w:abstractNumId w:val="32"/>
  </w:num>
  <w:num w:numId="22">
    <w:abstractNumId w:val="2"/>
  </w:num>
  <w:num w:numId="23">
    <w:abstractNumId w:val="3"/>
  </w:num>
  <w:num w:numId="24">
    <w:abstractNumId w:val="36"/>
  </w:num>
  <w:num w:numId="25">
    <w:abstractNumId w:val="11"/>
  </w:num>
  <w:num w:numId="26">
    <w:abstractNumId w:val="45"/>
  </w:num>
  <w:num w:numId="27">
    <w:abstractNumId w:val="33"/>
  </w:num>
  <w:num w:numId="28">
    <w:abstractNumId w:val="27"/>
  </w:num>
  <w:num w:numId="29">
    <w:abstractNumId w:val="35"/>
  </w:num>
  <w:num w:numId="30">
    <w:abstractNumId w:val="31"/>
  </w:num>
  <w:num w:numId="31">
    <w:abstractNumId w:val="28"/>
  </w:num>
  <w:num w:numId="32">
    <w:abstractNumId w:val="12"/>
  </w:num>
  <w:num w:numId="33">
    <w:abstractNumId w:val="0"/>
  </w:num>
  <w:num w:numId="34">
    <w:abstractNumId w:val="42"/>
  </w:num>
  <w:num w:numId="35">
    <w:abstractNumId w:val="21"/>
  </w:num>
  <w:num w:numId="36">
    <w:abstractNumId w:val="13"/>
  </w:num>
  <w:num w:numId="37">
    <w:abstractNumId w:val="24"/>
  </w:num>
  <w:num w:numId="38">
    <w:abstractNumId w:val="41"/>
  </w:num>
  <w:num w:numId="39">
    <w:abstractNumId w:val="15"/>
  </w:num>
  <w:num w:numId="40">
    <w:abstractNumId w:val="18"/>
  </w:num>
  <w:num w:numId="41">
    <w:abstractNumId w:val="1"/>
  </w:num>
  <w:num w:numId="42">
    <w:abstractNumId w:val="7"/>
  </w:num>
  <w:num w:numId="43">
    <w:abstractNumId w:val="14"/>
  </w:num>
  <w:num w:numId="44">
    <w:abstractNumId w:val="23"/>
  </w:num>
  <w:num w:numId="45">
    <w:abstractNumId w:val="43"/>
  </w:num>
  <w:num w:numId="46">
    <w:abstractNumId w:val="5"/>
  </w:num>
  <w:num w:numId="47">
    <w:abstractNumId w:val="34"/>
  </w:num>
  <w:num w:numId="4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6B6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13B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18D3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4B98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435C6B-AEF9-4AF6-AC50-3AF7E08A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4060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2022-03-18T13:48:00Z</dcterms:created>
  <dcterms:modified xsi:type="dcterms:W3CDTF">2022-03-23T08:33:00Z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