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45" w:rsidRPr="00963599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963599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963599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:rsidR="00D63123" w:rsidRPr="00963599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963599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963599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211E45" w:rsidRPr="00963599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:rsidR="00211E45" w:rsidRPr="00963599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963599">
        <w:rPr>
          <w:rFonts w:ascii="Arial Narrow" w:hAnsi="Arial Narrow"/>
          <w:szCs w:val="22"/>
        </w:rPr>
        <w:t>I. N</w:t>
      </w:r>
      <w:r w:rsidR="004A36A4" w:rsidRPr="00963599">
        <w:rPr>
          <w:rFonts w:ascii="Arial Narrow" w:hAnsi="Arial Narrow"/>
          <w:smallCaps/>
          <w:szCs w:val="22"/>
        </w:rPr>
        <w:t>ázov</w:t>
      </w:r>
      <w:r w:rsidRPr="00963599">
        <w:rPr>
          <w:rFonts w:ascii="Arial Narrow" w:hAnsi="Arial Narrow"/>
          <w:szCs w:val="22"/>
        </w:rPr>
        <w:t xml:space="preserve">, </w:t>
      </w:r>
      <w:r w:rsidR="004A36A4" w:rsidRPr="00963599">
        <w:rPr>
          <w:rFonts w:ascii="Arial Narrow" w:hAnsi="Arial Narrow"/>
          <w:smallCaps/>
          <w:szCs w:val="22"/>
        </w:rPr>
        <w:t>adresa a kontaktné miesto verejného obstarávateľa</w:t>
      </w:r>
    </w:p>
    <w:p w:rsidR="00D63123" w:rsidRPr="00963599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Názov: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96359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963599">
        <w:rPr>
          <w:rFonts w:ascii="Arial Narrow" w:hAnsi="Arial Narrow"/>
          <w:sz w:val="22"/>
          <w:szCs w:val="22"/>
          <w:lang w:val="sk-SK"/>
        </w:rPr>
        <w:t> </w:t>
      </w:r>
      <w:r w:rsidR="00F1437D" w:rsidRPr="00963599">
        <w:rPr>
          <w:rFonts w:ascii="Arial Narrow" w:hAnsi="Arial Narrow"/>
          <w:sz w:val="22"/>
          <w:szCs w:val="22"/>
          <w:lang w:val="sk-SK"/>
        </w:rPr>
        <w:t>–</w:t>
      </w:r>
      <w:r w:rsidR="00D63123" w:rsidRPr="00963599">
        <w:rPr>
          <w:rFonts w:ascii="Arial Narrow" w:hAnsi="Arial Narrow"/>
          <w:sz w:val="22"/>
          <w:szCs w:val="22"/>
          <w:lang w:val="sk-SK"/>
        </w:rPr>
        <w:t xml:space="preserve"> </w:t>
      </w:r>
      <w:r w:rsidR="00F1437D" w:rsidRPr="00963599">
        <w:rPr>
          <w:rFonts w:ascii="Arial Narrow" w:hAnsi="Arial Narrow"/>
          <w:sz w:val="22"/>
          <w:szCs w:val="22"/>
          <w:lang w:val="sk-SK"/>
        </w:rPr>
        <w:t>OHZ SE MV SR</w:t>
      </w:r>
    </w:p>
    <w:p w:rsidR="00211E45" w:rsidRPr="00963599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Adresa</w:t>
      </w:r>
      <w:r w:rsidR="00F1437D" w:rsidRPr="00963599">
        <w:rPr>
          <w:rFonts w:ascii="Arial Narrow" w:hAnsi="Arial Narrow"/>
          <w:sz w:val="22"/>
          <w:szCs w:val="22"/>
          <w:lang w:val="sk-SK"/>
        </w:rPr>
        <w:t xml:space="preserve">: Košická </w:t>
      </w:r>
      <w:r w:rsidR="00E24D34" w:rsidRPr="00963599">
        <w:rPr>
          <w:rFonts w:ascii="Arial Narrow" w:hAnsi="Arial Narrow"/>
          <w:sz w:val="22"/>
          <w:szCs w:val="22"/>
          <w:lang w:val="sk-SK"/>
        </w:rPr>
        <w:t>47,</w:t>
      </w:r>
    </w:p>
    <w:p w:rsidR="00211E45" w:rsidRPr="00963599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Krajina: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:rsidR="00211E45" w:rsidRPr="00963599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96359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211E45" w:rsidRPr="00963599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5775D0" w:rsidRPr="00963599">
        <w:rPr>
          <w:rFonts w:ascii="Arial Narrow" w:hAnsi="Arial Narrow"/>
          <w:b w:val="0"/>
          <w:sz w:val="22"/>
          <w:szCs w:val="22"/>
          <w:lang w:val="sk-SK"/>
        </w:rPr>
        <w:t>Mgr. Art. Lenka Šimonyiová</w:t>
      </w:r>
    </w:p>
    <w:p w:rsidR="005775D0" w:rsidRPr="00963599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Telefón: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5775D0" w:rsidRPr="00963599">
        <w:rPr>
          <w:rFonts w:ascii="Arial Narrow" w:hAnsi="Arial Narrow"/>
          <w:b w:val="0"/>
          <w:sz w:val="22"/>
          <w:szCs w:val="22"/>
          <w:lang w:val="sk-SK"/>
        </w:rPr>
        <w:t>0961 054 172</w:t>
      </w:r>
    </w:p>
    <w:p w:rsidR="00211E45" w:rsidRPr="00963599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E-mail: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775D0" w:rsidRPr="00963599">
        <w:rPr>
          <w:rFonts w:ascii="Arial Narrow" w:hAnsi="Arial Narrow"/>
          <w:b w:val="0"/>
          <w:sz w:val="22"/>
          <w:szCs w:val="22"/>
          <w:lang w:val="sk-SK"/>
        </w:rPr>
        <w:t>lenka.simonyiova@minv.sk</w:t>
      </w:r>
    </w:p>
    <w:p w:rsidR="00B27AB6" w:rsidRPr="00963599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  <w:hyperlink r:id="rId9" w:history="1">
        <w:r w:rsidR="005775D0" w:rsidRPr="0096359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https://josephine.proebiz.com/sk/promoter/tender/20793/iszu/login</w:t>
        </w:r>
      </w:hyperlink>
      <w:r w:rsidR="005775D0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4A36A4" w:rsidRPr="00963599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963599">
        <w:rPr>
          <w:rFonts w:ascii="Arial Narrow" w:hAnsi="Arial Narrow"/>
          <w:szCs w:val="22"/>
        </w:rPr>
        <w:t xml:space="preserve"> </w:t>
      </w:r>
    </w:p>
    <w:p w:rsidR="004A36A4" w:rsidRPr="00963599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963599">
        <w:rPr>
          <w:rFonts w:ascii="Arial Narrow" w:hAnsi="Arial Narrow"/>
          <w:szCs w:val="22"/>
        </w:rPr>
        <w:t xml:space="preserve">II. </w:t>
      </w:r>
      <w:r w:rsidR="004A36A4" w:rsidRPr="00963599">
        <w:rPr>
          <w:rFonts w:ascii="Arial Narrow" w:hAnsi="Arial Narrow"/>
          <w:smallCaps/>
          <w:szCs w:val="22"/>
        </w:rPr>
        <w:t>Opis</w:t>
      </w:r>
    </w:p>
    <w:p w:rsidR="00211E45" w:rsidRPr="00963599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Názov zákazky:</w:t>
      </w:r>
    </w:p>
    <w:p w:rsidR="00BA1F3E" w:rsidRPr="00963599" w:rsidRDefault="00BA1F3E" w:rsidP="00BA1F3E">
      <w:pPr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Geodetické služby</w:t>
      </w:r>
      <w:r w:rsidR="00804586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pre 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Banskobystrický kraj </w:t>
      </w:r>
    </w:p>
    <w:p w:rsidR="00DD4EEC" w:rsidRPr="00963599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Druh zákazky: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A1F3E" w:rsidRPr="00963599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963599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Spoločný slovník</w:t>
      </w:r>
      <w:r w:rsidR="00BA1F3E" w:rsidRPr="00963599">
        <w:rPr>
          <w:rFonts w:ascii="Arial Narrow" w:hAnsi="Arial Narrow"/>
          <w:sz w:val="22"/>
          <w:szCs w:val="22"/>
          <w:lang w:val="sk-SK"/>
        </w:rPr>
        <w:t>.</w:t>
      </w:r>
      <w:r w:rsidRPr="00963599">
        <w:rPr>
          <w:rFonts w:ascii="Arial Narrow" w:hAnsi="Arial Narrow"/>
          <w:sz w:val="22"/>
          <w:szCs w:val="22"/>
          <w:lang w:val="sk-SK"/>
        </w:rPr>
        <w:t xml:space="preserve"> obstarávania</w:t>
      </w:r>
      <w:r w:rsidRPr="00963599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BA1F3E" w:rsidRPr="00963599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71354300-7 Katastrálne vymeriavanie </w:t>
      </w:r>
      <w:r w:rsidR="00E31BEC" w:rsidRPr="00963599">
        <w:rPr>
          <w:rFonts w:ascii="Arial Narrow" w:hAnsi="Arial Narrow"/>
          <w:b w:val="0"/>
          <w:sz w:val="22"/>
          <w:szCs w:val="22"/>
          <w:lang w:val="sk-SK"/>
        </w:rPr>
        <w:cr/>
      </w:r>
      <w:r w:rsidRPr="00963599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A1F3E" w:rsidRPr="00963599" w:rsidRDefault="00BA1F3E" w:rsidP="00804586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Zákazka </w:t>
      </w:r>
      <w:r w:rsidR="00804586" w:rsidRPr="00963599">
        <w:rPr>
          <w:rFonts w:ascii="Arial Narrow" w:hAnsi="Arial Narrow"/>
          <w:b w:val="0"/>
          <w:sz w:val="22"/>
          <w:szCs w:val="22"/>
          <w:lang w:val="sk-SK"/>
        </w:rPr>
        <w:t>nie je rozdelená na časti.</w:t>
      </w:r>
    </w:p>
    <w:bookmarkEnd w:id="1"/>
    <w:p w:rsidR="00D94660" w:rsidRPr="00963599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173A0" w:rsidRPr="00963599" w:rsidRDefault="00B173A0" w:rsidP="003D5A8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963599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SR, Centrum podpory Banská Bystrica, Ul. 9. Mája č. 1, 974 86 Banská Bystrica </w:t>
      </w:r>
      <w:r w:rsidR="00CF2E1F" w:rsidRPr="00963599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           </w:t>
      </w:r>
      <w:r w:rsidR="00804586" w:rsidRPr="00963599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(</w:t>
      </w:r>
      <w:r w:rsidRPr="00963599">
        <w:rPr>
          <w:rFonts w:ascii="Arial Narrow" w:hAnsi="Arial Narrow"/>
          <w:b w:val="0"/>
          <w:iCs/>
          <w:sz w:val="22"/>
          <w:szCs w:val="22"/>
          <w:lang w:val="sk-SK" w:bidi="en-US"/>
        </w:rPr>
        <w:t>pre Banskobystrický kraj)</w:t>
      </w:r>
    </w:p>
    <w:p w:rsidR="00B173A0" w:rsidRPr="00963599" w:rsidRDefault="00B173A0" w:rsidP="003D5A8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</w:p>
    <w:p w:rsidR="00D94660" w:rsidRPr="00963599" w:rsidRDefault="001C1A87" w:rsidP="00B173A0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C2973" w:rsidRPr="00963599" w:rsidRDefault="00B173A0" w:rsidP="00D94660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Zmluva pre každú časť zákazky bude uzatvorená na obdobie 24 mesiacov od nadobudnutia jej účinnosti alebo do vyčerpania finančného limitu pre jednotlivé časti, podľa toho, ktorá skutočnosť nastane skôr.</w:t>
      </w:r>
    </w:p>
    <w:p w:rsidR="001C1A87" w:rsidRPr="00963599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O</w:t>
      </w:r>
      <w:r w:rsidR="003B01BB" w:rsidRPr="00963599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963599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963599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963599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Predmetom zákazky sú geodetické služby vyhotovené v súlade s technickými a právnymi predpismi určené pre tento druh služby platné na území Slovenskej republiky, predovšetkým však v súlade so Smernicou na vyhotovenie geometrických plánov a vytyčovanie hraníc pozemkov (katastrálny zákon a jeho vykonávacia vyhláška, smernice radu geodézie, kartografie a katastra SR a inštrukcie na vyhotovenie geometrických plánov,....) 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Cena bude stanovená dohodou podľa zmluvných strán v zmysle zákona NR SR č. 18/1996 Z. z. o cenách v znení neskorších predpisov a vyhlášky Ministerstva financií Slovenskej republiky č. 87/1996 Z. z., ktorou sa vykonáva zákon NR SR č. 18/1996 Z. z. o cenách.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V cene budú zahrnuté všetky ekonomicky oprávnené náklady (doprava na miesto merania, meranie, spracovanie, náklady na odkonzultovanie a doručenie predmetu zákazky atď.), ktoré uchádzačovi môžu vzniknúť v súvislosti s vykonaním a dodaním, vrátane správnych poplatkov.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Plnenie bude realizované v zmysle zmluvy na základe  objednávok vystavených objednávateľom.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Cena za geodetické služby bude určená vynásobením jednotkovej ceny, počtom merných jednotiek a k zákazke budú pripočítané náklady za poskytnutie podkladov z operátu katastra nehnuteľností a správne poplatky, v tých prípadoch, kedy sú v zmysle zákona vyrubené.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lastRenderedPageBreak/>
        <w:t>Pri všetkých geodetických službách sa počet merných jednotiek uvádza v hektometroch (hm), to znamená, že 1 merná jednotka sa rovná 100 m hranice pozemku.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Objednávateľ za účelom vykonania služby poskytne uchádzačovi list vlastníctva a kópiu z katastrálnej mapy, a ostatné dokumenty potrebné k riadnemu vykonaniu, pokiaľ ich bude mať k dispozícii. 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Objednávateľ požaduje dodanie úradne overeného Geometrického plánu v počte 3 vyhotovenia v tlačenej forme a jeden v digitálnej forme.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Ak je uchádzač zdaniteľnou osobou pre DPH v zmysle príslušných predpisov (ďalej len "zdaniteľná osoba"), navrhovanú cenu uvedie v zložení: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-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ab/>
        <w:t>navrhovaná cena v Eur bez DPH,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-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ab/>
        <w:t>DPH 20% v Eur,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-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ab/>
        <w:t>navrhovaná cena v Eur vrátane DPH.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Ak uchádzač nie je zdaniteľnou osobou pre DPH, uvedie navrhovanú cenu v Eur. Skutočnosť, že nie je zdaniteľnou osobou pre DPH, uchádzač uvedie v ponuke.</w:t>
      </w:r>
    </w:p>
    <w:p w:rsidR="00D676CD" w:rsidRPr="00963599" w:rsidRDefault="00D676CD" w:rsidP="00D676C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Uchádzač vo svojej ponuke stanoví cenu celkom za celý predmet zákazky a zároveň aj ceny za jednotlivé položky v zmysle výzvy.</w:t>
      </w:r>
    </w:p>
    <w:p w:rsidR="00C04FB0" w:rsidRPr="00963599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981863" w:rsidRPr="00963599" w:rsidRDefault="00981863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0E3F01" w:rsidRPr="00963599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963599">
        <w:rPr>
          <w:rFonts w:ascii="Arial Narrow" w:hAnsi="Arial Narrow"/>
          <w:szCs w:val="22"/>
        </w:rPr>
        <w:t xml:space="preserve">III. </w:t>
      </w:r>
      <w:r w:rsidRPr="00963599">
        <w:rPr>
          <w:rFonts w:ascii="Arial Narrow" w:hAnsi="Arial Narrow"/>
          <w:smallCaps/>
          <w:szCs w:val="22"/>
        </w:rPr>
        <w:t>predpokladaná hodnota zákazky</w:t>
      </w:r>
      <w:r w:rsidRPr="00963599">
        <w:rPr>
          <w:rFonts w:ascii="Arial Narrow" w:hAnsi="Arial Narrow"/>
          <w:szCs w:val="22"/>
        </w:rPr>
        <w:t>:</w:t>
      </w:r>
      <w:r w:rsidR="000E3F01" w:rsidRPr="00963599">
        <w:rPr>
          <w:rFonts w:ascii="Arial Narrow" w:hAnsi="Arial Narrow"/>
          <w:b w:val="0"/>
          <w:szCs w:val="22"/>
        </w:rPr>
        <w:t xml:space="preserve"> </w:t>
      </w:r>
    </w:p>
    <w:p w:rsidR="00BC2973" w:rsidRPr="00963599" w:rsidRDefault="00BC2973" w:rsidP="00BC2973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963599">
        <w:rPr>
          <w:rFonts w:ascii="Arial Narrow" w:hAnsi="Arial Narrow"/>
          <w:b w:val="0"/>
          <w:szCs w:val="22"/>
        </w:rPr>
        <w:t xml:space="preserve">Celková hodnota - </w:t>
      </w:r>
      <w:r w:rsidR="00804586" w:rsidRPr="00963599">
        <w:rPr>
          <w:rFonts w:ascii="Arial Narrow" w:hAnsi="Arial Narrow"/>
          <w:b w:val="0"/>
          <w:szCs w:val="22"/>
        </w:rPr>
        <w:t>5 833,33,-</w:t>
      </w:r>
      <w:r w:rsidRPr="00963599">
        <w:rPr>
          <w:rFonts w:ascii="Arial Narrow" w:hAnsi="Arial Narrow"/>
          <w:b w:val="0"/>
          <w:szCs w:val="22"/>
        </w:rPr>
        <w:t xml:space="preserve">Eur bez DPH   </w:t>
      </w:r>
    </w:p>
    <w:p w:rsidR="00BC2973" w:rsidRPr="00963599" w:rsidRDefault="00BC2973" w:rsidP="00BC2973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963599">
        <w:rPr>
          <w:rFonts w:ascii="Arial Narrow" w:hAnsi="Arial Narrow"/>
          <w:b w:val="0"/>
          <w:szCs w:val="22"/>
        </w:rPr>
        <w:t xml:space="preserve"> </w:t>
      </w:r>
    </w:p>
    <w:p w:rsidR="001C1A87" w:rsidRPr="00963599" w:rsidRDefault="001C1A87" w:rsidP="00BC2973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963599">
        <w:rPr>
          <w:rFonts w:ascii="Arial Narrow" w:hAnsi="Arial Narrow"/>
          <w:smallCaps/>
          <w:szCs w:val="22"/>
        </w:rPr>
        <w:t>IV. Administratívne informácie</w:t>
      </w:r>
    </w:p>
    <w:p w:rsidR="001C1A87" w:rsidRPr="00963599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963599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963599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</w:t>
      </w:r>
      <w:r w:rsidR="0065549D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</w:t>
      </w:r>
    </w:p>
    <w:p w:rsidR="00024CB1" w:rsidRPr="00963599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963599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65549D" w:rsidRPr="00963599">
        <w:rPr>
          <w:rFonts w:ascii="Arial Narrow" w:hAnsi="Arial Narrow"/>
          <w:b w:val="0"/>
          <w:sz w:val="22"/>
          <w:szCs w:val="22"/>
          <w:lang w:val="sk-SK"/>
        </w:rPr>
        <w:t>e „Knižnica manuálov a odkazov“</w:t>
      </w:r>
    </w:p>
    <w:p w:rsidR="00AE0C75" w:rsidRPr="00963599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227FAE" w:rsidRPr="00963599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65549D" w:rsidRPr="00963599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:rsidR="00227FAE" w:rsidRPr="00963599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963599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1C1A87" w:rsidRPr="00963599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Dátum: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63599">
        <w:rPr>
          <w:rFonts w:ascii="Arial Narrow" w:hAnsi="Arial Narrow"/>
          <w:b w:val="0"/>
          <w:sz w:val="22"/>
          <w:szCs w:val="22"/>
          <w:lang w:val="sk-SK"/>
        </w:rPr>
        <w:t>03</w:t>
      </w:r>
      <w:r w:rsidR="00660F6E" w:rsidRPr="00963599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963599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660F6E" w:rsidRPr="00963599">
        <w:rPr>
          <w:rFonts w:ascii="Arial Narrow" w:hAnsi="Arial Narrow"/>
          <w:b w:val="0"/>
          <w:sz w:val="22"/>
          <w:szCs w:val="22"/>
          <w:lang w:val="sk-SK"/>
        </w:rPr>
        <w:t>.2022</w:t>
      </w:r>
      <w:r w:rsidR="000B1601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1C1A87" w:rsidRPr="00963599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Čas: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81863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65549D" w:rsidRPr="00963599">
        <w:rPr>
          <w:rFonts w:ascii="Arial Narrow" w:hAnsi="Arial Narrow"/>
          <w:b w:val="0"/>
          <w:sz w:val="22"/>
          <w:szCs w:val="22"/>
          <w:lang w:val="sk-SK"/>
        </w:rPr>
        <w:t>12:00</w:t>
      </w:r>
      <w:r w:rsidR="000B1601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963599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981863" w:rsidRPr="00963599" w:rsidRDefault="00981863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963599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963599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0" w:history="1">
        <w:r w:rsidR="00921008" w:rsidRPr="00963599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963599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AE0C75" w:rsidRPr="00963599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7260E8" w:rsidRPr="00963599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963599">
        <w:rPr>
          <w:rFonts w:ascii="Arial Narrow" w:hAnsi="Arial Narrow"/>
          <w:smallCaps/>
          <w:szCs w:val="22"/>
        </w:rPr>
        <w:t>V. Podmienky účasti</w:t>
      </w:r>
    </w:p>
    <w:p w:rsidR="00B36220" w:rsidRPr="00963599" w:rsidRDefault="00B36220" w:rsidP="00B36220">
      <w:pPr>
        <w:numPr>
          <w:ilvl w:val="0"/>
          <w:numId w:val="9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Doklad o oprávnení poskytovať službu podľa § 32 ods. 1 zákona č. 353/2015 Z. z. o verejnom obstarávaní a o zmene a doplnení niektorých zákonov v znení neskorších predpisov ( ďalej len „zákon“ ), </w:t>
      </w:r>
      <w:r w:rsidRPr="00963599">
        <w:rPr>
          <w:rFonts w:ascii="Arial Narrow" w:hAnsi="Arial Narrow"/>
          <w:b w:val="0"/>
          <w:sz w:val="22"/>
          <w:szCs w:val="22"/>
          <w:shd w:val="clear" w:color="auto" w:fill="FFFFFF"/>
          <w:lang w:val="sk-SK"/>
        </w:rPr>
        <w:t>ktorý zodpovedá predmetu zákazky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</w:p>
    <w:p w:rsidR="00B36220" w:rsidRPr="00963599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Doklad podľa § 32 ods. 2 písm. f) zákona ( čestné vyhlásenie ) o tom, že uchádzač nemá uložený zákaz účasti vo verejnom obstarávaní potvrdený konečným rozhodnutím v Slovenskej republike alebo v štáte sídla, miesta podnikania alebo obvyklého pobytu.</w:t>
      </w:r>
    </w:p>
    <w:p w:rsidR="00B36220" w:rsidRPr="00963599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Doklad podľa § 34 ods. 1 písm. g) zákona  odborná kvalifikácia osoby na plnenie zmluvy </w:t>
      </w:r>
      <w:r w:rsidR="0011267D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        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podľa § 7 zákona č. 215/1995 Z.z. o geodézii a kartografii. a zákona č. 487/2021 Z. z. o Komore  geodetov 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lastRenderedPageBreak/>
        <w:t>a kartografov. Uchádzač môže doklad podľa písm. a) a písm. b) nahradiť predložením platného potvrdenia o jeho zapísaní do zoznamu hospodárskych subjektov podľa § 152</w:t>
      </w:r>
      <w:r w:rsidR="0011267D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            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ods. 1 zákona, resp. čestným vyhlásením.</w:t>
      </w:r>
    </w:p>
    <w:p w:rsidR="00B36220" w:rsidRPr="00963599" w:rsidRDefault="00B36220" w:rsidP="00B36220">
      <w:pPr>
        <w:ind w:left="567"/>
        <w:contextualSpacing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36220" w:rsidRPr="00963599" w:rsidRDefault="00B36220" w:rsidP="00B36220">
      <w:pPr>
        <w:numPr>
          <w:ilvl w:val="0"/>
          <w:numId w:val="9"/>
        </w:numPr>
        <w:contextualSpacing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Doklady uvedené podľa písm. a) až písm. c) predložia uchádzači v rámci ponuky ako fotokópie. </w:t>
      </w:r>
    </w:p>
    <w:p w:rsidR="007260E8" w:rsidRPr="00963599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963599">
        <w:rPr>
          <w:rFonts w:ascii="Arial Narrow" w:hAnsi="Arial Narrow"/>
          <w:bCs/>
          <w:smallCaps/>
          <w:szCs w:val="22"/>
        </w:rPr>
        <w:t>VI. Kritériá vyhodnotenia ponúk</w:t>
      </w:r>
    </w:p>
    <w:p w:rsidR="00B36220" w:rsidRPr="00963599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Kritériom na vyhodnotenie ponúk je najnižšia cena za predmet zákazky.</w:t>
      </w:r>
    </w:p>
    <w:p w:rsidR="00B36220" w:rsidRPr="00963599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vyhodnocovať ponuky jednotlivých uchádzačov podľa ich konečnej ceny za celý predmet zákazky, t. j. u platcov DPH cenu vrátane DPH a u neplatcov DPH cenu bez DPH. </w:t>
      </w:r>
    </w:p>
    <w:p w:rsidR="00B36220" w:rsidRPr="00963599" w:rsidRDefault="00B36220" w:rsidP="00B36220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</w:t>
      </w:r>
      <w:r w:rsidR="00E11BE7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za jednotlivé časti zákazky.</w:t>
      </w: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</w:p>
    <w:p w:rsidR="00B36220" w:rsidRPr="00963599" w:rsidRDefault="00B36220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B1601" w:rsidRPr="00963599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</w:p>
    <w:p w:rsidR="00046EE5" w:rsidRPr="00963599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530404" w:rsidRPr="00963599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963599">
        <w:rPr>
          <w:rFonts w:ascii="Arial Narrow" w:hAnsi="Arial Narrow"/>
          <w:bCs/>
          <w:smallCaps/>
          <w:szCs w:val="22"/>
        </w:rPr>
        <w:t>VII.  Podmienky týkajúce sa zmluvy</w:t>
      </w:r>
    </w:p>
    <w:p w:rsidR="00E11BE7" w:rsidRPr="00963599" w:rsidRDefault="00E11BE7" w:rsidP="00E11BE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bude zmluva. </w:t>
      </w:r>
    </w:p>
    <w:p w:rsidR="001F3FE8" w:rsidRPr="00963599" w:rsidRDefault="00E11BE7" w:rsidP="00E11BE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Predmet zákazky bude financovaný z prostriedkov štátneho rozpočtu, splatnosť faktúr je 30 kalendárnych dní odo dňa ich doručenia verejnému obstarávateľovi. </w:t>
      </w:r>
      <w:r w:rsidR="00E31A73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963599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="00530404"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3575C" w:rsidRPr="00963599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:rsidR="0093575C" w:rsidRPr="00963599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963599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E11BE7" w:rsidRPr="00963599">
        <w:rPr>
          <w:rFonts w:ascii="Arial Narrow" w:hAnsi="Arial Narrow"/>
          <w:b w:val="0"/>
          <w:iCs/>
          <w:sz w:val="22"/>
          <w:szCs w:val="22"/>
          <w:lang w:val="sk-SK"/>
        </w:rPr>
        <w:t xml:space="preserve"> v zmysle platnej zmluvy.</w:t>
      </w:r>
      <w:r w:rsidRPr="00963599">
        <w:rPr>
          <w:rFonts w:ascii="Arial Narrow" w:hAnsi="Arial Narrow"/>
          <w:b w:val="0"/>
          <w:iCs/>
          <w:sz w:val="22"/>
          <w:szCs w:val="22"/>
          <w:lang w:val="sk-SK"/>
        </w:rPr>
        <w:t xml:space="preserve"> </w:t>
      </w:r>
    </w:p>
    <w:p w:rsidR="001F3FE8" w:rsidRPr="00963599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:rsidR="001F3FE8" w:rsidRPr="00963599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963599">
        <w:rPr>
          <w:rFonts w:ascii="Arial Narrow" w:hAnsi="Arial Narrow"/>
          <w:szCs w:val="22"/>
        </w:rPr>
        <w:t>VIII: DOPLŇUJÚCE INFORMÁCIE:</w:t>
      </w:r>
    </w:p>
    <w:p w:rsidR="00E35924" w:rsidRPr="00963599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:rsidR="000E410A" w:rsidRPr="00963599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:rsidR="000E410A" w:rsidRPr="00963599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963599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963599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963599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0E410A" w:rsidRPr="00963599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3599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0E410A" w:rsidRPr="00963599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963599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CD146B" w:rsidRPr="00963599">
        <w:rPr>
          <w:rFonts w:ascii="Arial Narrow" w:eastAsia="Calibri" w:hAnsi="Arial Narrow"/>
          <w:sz w:val="22"/>
          <w:szCs w:val="22"/>
          <w:lang w:val="sk-SK" w:eastAsia="en-US"/>
        </w:rPr>
        <w:t>Bratislave</w:t>
      </w:r>
      <w:r w:rsidRPr="00963599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4B0F3F" w:rsidRPr="00963599">
        <w:rPr>
          <w:rFonts w:ascii="Arial Narrow" w:eastAsia="Calibri" w:hAnsi="Arial Narrow"/>
          <w:sz w:val="22"/>
          <w:szCs w:val="22"/>
          <w:lang w:val="sk-SK" w:eastAsia="en-US"/>
        </w:rPr>
        <w:t xml:space="preserve"> dňa ..........................</w:t>
      </w:r>
      <w:r w:rsidRPr="00963599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:rsidR="0011267D" w:rsidRPr="00963599" w:rsidRDefault="0011267D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</w:p>
    <w:tbl>
      <w:tblPr>
        <w:tblStyle w:val="Mriekatabuky"/>
        <w:tblpPr w:leftFromText="141" w:rightFromText="141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</w:tblGrid>
      <w:tr w:rsidR="0011267D" w:rsidRPr="00963599" w:rsidTr="0011267D">
        <w:trPr>
          <w:trHeight w:val="174"/>
        </w:trPr>
        <w:tc>
          <w:tcPr>
            <w:tcW w:w="3771" w:type="dxa"/>
          </w:tcPr>
          <w:p w:rsidR="0011267D" w:rsidRPr="00963599" w:rsidRDefault="0011267D" w:rsidP="0011267D">
            <w:pPr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963599">
              <w:rPr>
                <w:rFonts w:ascii="Arial Narrow" w:hAnsi="Arial Narrow"/>
                <w:sz w:val="22"/>
                <w:szCs w:val="22"/>
                <w:lang w:val="sk-SK"/>
              </w:rPr>
              <w:t>I</w:t>
            </w:r>
            <w:r w:rsidRPr="00963599">
              <w:rPr>
                <w:rFonts w:ascii="Arial Narrow" w:eastAsia="Calibri" w:hAnsi="Arial Narrow"/>
                <w:sz w:val="22"/>
                <w:szCs w:val="22"/>
                <w:lang w:val="sk-SK" w:eastAsia="en-US"/>
              </w:rPr>
              <w:t>ng. Martina Hrnčiarová</w:t>
            </w:r>
          </w:p>
        </w:tc>
      </w:tr>
      <w:tr w:rsidR="0011267D" w:rsidRPr="00963599" w:rsidTr="0011267D">
        <w:trPr>
          <w:trHeight w:val="164"/>
        </w:trPr>
        <w:tc>
          <w:tcPr>
            <w:tcW w:w="3771" w:type="dxa"/>
          </w:tcPr>
          <w:p w:rsidR="0011267D" w:rsidRPr="00963599" w:rsidRDefault="0011267D" w:rsidP="0011267D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k-SK" w:eastAsia="en-US"/>
              </w:rPr>
            </w:pPr>
          </w:p>
        </w:tc>
      </w:tr>
      <w:tr w:rsidR="0011267D" w:rsidRPr="00963599" w:rsidTr="0011267D">
        <w:trPr>
          <w:trHeight w:val="174"/>
        </w:trPr>
        <w:tc>
          <w:tcPr>
            <w:tcW w:w="3771" w:type="dxa"/>
          </w:tcPr>
          <w:p w:rsidR="0011267D" w:rsidRPr="00963599" w:rsidRDefault="0011267D" w:rsidP="0011267D">
            <w:pPr>
              <w:jc w:val="center"/>
              <w:rPr>
                <w:rFonts w:ascii="Arial Narrow" w:eastAsia="Calibri" w:hAnsi="Arial Narrow"/>
                <w:b w:val="0"/>
                <w:sz w:val="22"/>
                <w:szCs w:val="22"/>
                <w:lang w:val="sk-SK" w:eastAsia="en-US"/>
              </w:rPr>
            </w:pPr>
            <w:r w:rsidRPr="00963599">
              <w:rPr>
                <w:rFonts w:ascii="Arial Narrow" w:eastAsia="Calibri" w:hAnsi="Arial Narrow"/>
                <w:b w:val="0"/>
                <w:sz w:val="22"/>
                <w:szCs w:val="22"/>
                <w:lang w:val="sk-SK" w:eastAsia="en-US"/>
              </w:rPr>
              <w:t>riaditeľka</w:t>
            </w:r>
          </w:p>
        </w:tc>
      </w:tr>
      <w:tr w:rsidR="0011267D" w:rsidRPr="00963599" w:rsidTr="0011267D">
        <w:trPr>
          <w:trHeight w:val="164"/>
        </w:trPr>
        <w:tc>
          <w:tcPr>
            <w:tcW w:w="3771" w:type="dxa"/>
          </w:tcPr>
          <w:p w:rsidR="0011267D" w:rsidRPr="00963599" w:rsidRDefault="0011267D" w:rsidP="0011267D">
            <w:pPr>
              <w:jc w:val="center"/>
              <w:rPr>
                <w:rFonts w:ascii="Arial Narrow" w:eastAsia="Calibri" w:hAnsi="Arial Narrow"/>
                <w:b w:val="0"/>
                <w:sz w:val="22"/>
                <w:szCs w:val="22"/>
                <w:lang w:val="sk-SK" w:eastAsia="en-US"/>
              </w:rPr>
            </w:pPr>
            <w:r w:rsidRPr="00963599">
              <w:rPr>
                <w:rFonts w:ascii="Arial Narrow" w:eastAsia="Calibri" w:hAnsi="Arial Narrow"/>
                <w:b w:val="0"/>
                <w:sz w:val="22"/>
                <w:szCs w:val="22"/>
                <w:lang w:val="sk-SK" w:eastAsia="en-US"/>
              </w:rPr>
              <w:t>odboru hospodárskeho zabezpečenia</w:t>
            </w:r>
          </w:p>
        </w:tc>
      </w:tr>
      <w:tr w:rsidR="0011267D" w:rsidRPr="00963599" w:rsidTr="0011267D">
        <w:trPr>
          <w:trHeight w:val="141"/>
        </w:trPr>
        <w:tc>
          <w:tcPr>
            <w:tcW w:w="3771" w:type="dxa"/>
          </w:tcPr>
          <w:p w:rsidR="0011267D" w:rsidRPr="00963599" w:rsidRDefault="0011267D" w:rsidP="001126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Arial Narrow" w:eastAsia="Calibri" w:hAnsi="Arial Narrow"/>
                <w:b w:val="0"/>
                <w:sz w:val="22"/>
                <w:szCs w:val="22"/>
                <w:lang w:val="sk-SK" w:eastAsia="en-US"/>
              </w:rPr>
            </w:pPr>
            <w:r w:rsidRPr="00963599">
              <w:rPr>
                <w:rFonts w:ascii="Arial Narrow" w:eastAsia="Calibri" w:hAnsi="Arial Narrow"/>
                <w:b w:val="0"/>
                <w:sz w:val="22"/>
                <w:szCs w:val="22"/>
                <w:lang w:val="sk-SK" w:eastAsia="en-US"/>
              </w:rPr>
              <w:t>sekcie ekonomiky MV SR</w:t>
            </w:r>
          </w:p>
        </w:tc>
      </w:tr>
    </w:tbl>
    <w:p w:rsidR="00CD146B" w:rsidRPr="00963599" w:rsidRDefault="00321273" w:rsidP="00CD146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963599">
        <w:rPr>
          <w:rFonts w:ascii="Arial Narrow" w:hAnsi="Arial Narrow"/>
          <w:sz w:val="22"/>
          <w:szCs w:val="22"/>
          <w:lang w:val="sk-SK"/>
        </w:rPr>
        <w:t xml:space="preserve">                                                                           </w:t>
      </w:r>
      <w:r w:rsidR="004B0F3F" w:rsidRPr="00963599">
        <w:rPr>
          <w:rFonts w:ascii="Arial Narrow" w:hAnsi="Arial Narrow"/>
          <w:sz w:val="22"/>
          <w:szCs w:val="22"/>
          <w:lang w:val="sk-SK"/>
        </w:rPr>
        <w:t xml:space="preserve">                             </w:t>
      </w:r>
    </w:p>
    <w:p w:rsidR="00B66531" w:rsidRPr="00963599" w:rsidRDefault="00B66531" w:rsidP="00CD146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</w:p>
    <w:sectPr w:rsidR="00B66531" w:rsidRPr="00963599" w:rsidSect="001126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20" w:rsidRDefault="00AE7820" w:rsidP="000F49C3">
      <w:r>
        <w:separator/>
      </w:r>
    </w:p>
  </w:endnote>
  <w:endnote w:type="continuationSeparator" w:id="0">
    <w:p w:rsidR="00AE7820" w:rsidRDefault="00AE7820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3F1" w:rsidRDefault="00BA43F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A43F1" w:rsidRPr="00BA43F1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3F1" w:rsidRDefault="00BA43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20" w:rsidRDefault="00AE7820" w:rsidP="000F49C3">
      <w:r>
        <w:separator/>
      </w:r>
    </w:p>
  </w:footnote>
  <w:footnote w:type="continuationSeparator" w:id="0">
    <w:p w:rsidR="00AE7820" w:rsidRDefault="00AE7820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3F1" w:rsidRDefault="00BA43F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3A0" w:rsidRPr="00B359CE" w:rsidRDefault="00B173A0" w:rsidP="00B173A0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</w:p>
  <w:p w:rsidR="00B173A0" w:rsidRDefault="00B173A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7D" w:rsidRPr="00F1437D" w:rsidRDefault="0011267D" w:rsidP="0011267D">
    <w:pPr>
      <w:jc w:val="center"/>
      <w:rPr>
        <w:rFonts w:ascii="Arial Narrow" w:hAnsi="Arial Narrow"/>
        <w:sz w:val="24"/>
        <w:szCs w:val="24"/>
        <w:lang w:val="sk-SK"/>
      </w:rPr>
    </w:pPr>
    <w:r w:rsidRPr="00F1437D">
      <w:rPr>
        <w:rFonts w:ascii="Arial Narrow" w:hAnsi="Arial Narrow"/>
        <w:sz w:val="24"/>
        <w:szCs w:val="24"/>
        <w:lang w:val="sk-SK"/>
      </w:rPr>
      <w:t>Ministerstva vnútra Slovenskej republiky</w:t>
    </w:r>
  </w:p>
  <w:p w:rsidR="0011267D" w:rsidRPr="00F1437D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b w:val="0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SEKCIA EKONOMIKY</w:t>
    </w:r>
  </w:p>
  <w:p w:rsidR="0011267D" w:rsidRPr="00F1437D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b w:val="0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odbor hospodárskeho zabezpe</w:t>
    </w:r>
    <w:r w:rsidRPr="00F1437D">
      <w:rPr>
        <w:rFonts w:ascii="Arial Narrow" w:hAnsi="Arial Narrow" w:hint="eastAsia"/>
        <w:b w:val="0"/>
        <w:sz w:val="22"/>
        <w:szCs w:val="22"/>
        <w:lang w:val="sk-SK"/>
      </w:rPr>
      <w:t>č</w:t>
    </w:r>
    <w:r w:rsidRPr="00F1437D">
      <w:rPr>
        <w:rFonts w:ascii="Arial Narrow" w:hAnsi="Arial Narrow"/>
        <w:b w:val="0"/>
        <w:sz w:val="22"/>
        <w:szCs w:val="22"/>
        <w:lang w:val="sk-SK"/>
      </w:rPr>
      <w:t>enia</w:t>
    </w:r>
  </w:p>
  <w:p w:rsidR="0011267D" w:rsidRPr="00B359CE" w:rsidRDefault="0011267D" w:rsidP="0011267D">
    <w:pPr>
      <w:pBdr>
        <w:bottom w:val="single" w:sz="12" w:space="1" w:color="auto"/>
      </w:pBdr>
      <w:jc w:val="center"/>
      <w:rPr>
        <w:rFonts w:ascii="Arial Narrow" w:hAnsi="Arial Narrow"/>
        <w:sz w:val="22"/>
        <w:szCs w:val="22"/>
        <w:lang w:val="sk-SK"/>
      </w:rPr>
    </w:pPr>
    <w:r w:rsidRPr="00F1437D">
      <w:rPr>
        <w:rFonts w:ascii="Arial Narrow" w:hAnsi="Arial Narrow"/>
        <w:b w:val="0"/>
        <w:sz w:val="22"/>
        <w:szCs w:val="22"/>
        <w:lang w:val="sk-SK"/>
      </w:rPr>
      <w:t>Pribinova 2, 812 72 Bratislava</w:t>
    </w:r>
  </w:p>
  <w:p w:rsidR="0011267D" w:rsidRPr="00B359CE" w:rsidRDefault="0011267D" w:rsidP="0011267D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  <w:r w:rsidRPr="00B359CE">
      <w:rPr>
        <w:rFonts w:ascii="Arial Narrow" w:hAnsi="Arial Narrow"/>
        <w:b w:val="0"/>
        <w:sz w:val="22"/>
        <w:szCs w:val="22"/>
        <w:lang w:val="sk-SK"/>
      </w:rPr>
      <w:t xml:space="preserve">Č. p. :  </w:t>
    </w:r>
    <w:r>
      <w:rPr>
        <w:rFonts w:ascii="Arial Narrow" w:hAnsi="Arial Narrow"/>
        <w:b w:val="0"/>
        <w:sz w:val="22"/>
        <w:szCs w:val="22"/>
        <w:lang w:val="sk-SK"/>
      </w:rPr>
      <w:t>SE-OHZ4-20212/003424-0</w:t>
    </w:r>
    <w:r w:rsidR="00BA43F1">
      <w:rPr>
        <w:rFonts w:ascii="Arial Narrow" w:hAnsi="Arial Narrow"/>
        <w:b w:val="0"/>
        <w:sz w:val="22"/>
        <w:szCs w:val="22"/>
        <w:lang w:val="sk-SK"/>
      </w:rPr>
      <w:t>11</w:t>
    </w:r>
    <w:bookmarkStart w:id="2" w:name="_GoBack"/>
    <w:bookmarkEnd w:id="2"/>
  </w:p>
  <w:p w:rsidR="0011267D" w:rsidRPr="00B359CE" w:rsidRDefault="0011267D" w:rsidP="0011267D">
    <w:pPr>
      <w:ind w:left="1276" w:hanging="1276"/>
      <w:rPr>
        <w:rFonts w:ascii="Arial Narrow" w:hAnsi="Arial Narrow"/>
        <w:b w:val="0"/>
        <w:sz w:val="22"/>
        <w:szCs w:val="22"/>
        <w:lang w:val="sk-SK"/>
      </w:rPr>
    </w:pPr>
  </w:p>
  <w:p w:rsidR="0011267D" w:rsidRDefault="0011267D" w:rsidP="0011267D">
    <w:pPr>
      <w:pStyle w:val="Hlavika"/>
    </w:pPr>
  </w:p>
  <w:p w:rsidR="0011267D" w:rsidRDefault="001126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17093"/>
    <w:multiLevelType w:val="hybridMultilevel"/>
    <w:tmpl w:val="2E7EF58A"/>
    <w:lvl w:ilvl="0" w:tplc="5B80C600">
      <w:start w:val="1"/>
      <w:numFmt w:val="lowerLetter"/>
      <w:lvlText w:val="%1)"/>
      <w:lvlJc w:val="left"/>
      <w:pPr>
        <w:ind w:left="64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56D8F"/>
    <w:multiLevelType w:val="hybridMultilevel"/>
    <w:tmpl w:val="89BC7EBA"/>
    <w:lvl w:ilvl="0" w:tplc="56D46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3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6185"/>
    <w:rsid w:val="000610DB"/>
    <w:rsid w:val="00063C84"/>
    <w:rsid w:val="00072A8C"/>
    <w:rsid w:val="000733E0"/>
    <w:rsid w:val="00076031"/>
    <w:rsid w:val="00077E7C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1267D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D5A83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5D0"/>
    <w:rsid w:val="005779D2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3391F"/>
    <w:rsid w:val="0064203F"/>
    <w:rsid w:val="00643D07"/>
    <w:rsid w:val="00643E8C"/>
    <w:rsid w:val="0065549D"/>
    <w:rsid w:val="00660F6E"/>
    <w:rsid w:val="00662B69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56D4C"/>
    <w:rsid w:val="00772600"/>
    <w:rsid w:val="00797D45"/>
    <w:rsid w:val="007A0AC5"/>
    <w:rsid w:val="007C2D7A"/>
    <w:rsid w:val="007D41DF"/>
    <w:rsid w:val="007D4FFB"/>
    <w:rsid w:val="00804586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3599"/>
    <w:rsid w:val="00965460"/>
    <w:rsid w:val="0098149A"/>
    <w:rsid w:val="00981863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E7820"/>
    <w:rsid w:val="00AF2ADA"/>
    <w:rsid w:val="00AF476D"/>
    <w:rsid w:val="00B07073"/>
    <w:rsid w:val="00B0798D"/>
    <w:rsid w:val="00B173A0"/>
    <w:rsid w:val="00B27AB6"/>
    <w:rsid w:val="00B32389"/>
    <w:rsid w:val="00B359CE"/>
    <w:rsid w:val="00B36220"/>
    <w:rsid w:val="00B46A0D"/>
    <w:rsid w:val="00B50C46"/>
    <w:rsid w:val="00B5458C"/>
    <w:rsid w:val="00B66531"/>
    <w:rsid w:val="00B6725A"/>
    <w:rsid w:val="00B77DD7"/>
    <w:rsid w:val="00B9272F"/>
    <w:rsid w:val="00B9276D"/>
    <w:rsid w:val="00B939A0"/>
    <w:rsid w:val="00BA1F3E"/>
    <w:rsid w:val="00BA43F1"/>
    <w:rsid w:val="00BB27FA"/>
    <w:rsid w:val="00BB47F0"/>
    <w:rsid w:val="00BC2973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D146B"/>
    <w:rsid w:val="00CF2E1F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676CD"/>
    <w:rsid w:val="00D706BF"/>
    <w:rsid w:val="00D877C3"/>
    <w:rsid w:val="00D94660"/>
    <w:rsid w:val="00DB094C"/>
    <w:rsid w:val="00DD4EEC"/>
    <w:rsid w:val="00DD5046"/>
    <w:rsid w:val="00DD5EC1"/>
    <w:rsid w:val="00DE7004"/>
    <w:rsid w:val="00E06B24"/>
    <w:rsid w:val="00E0700B"/>
    <w:rsid w:val="00E11BE7"/>
    <w:rsid w:val="00E24D34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437D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8E10A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67D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table" w:styleId="Mriekatabuky">
    <w:name w:val="Table Grid"/>
    <w:basedOn w:val="Normlnatabuka"/>
    <w:rsid w:val="00CD1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rsid w:val="0011267D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20793/iszu/log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C31C9-782D-4FEA-AD71-2BA8BAA3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1068</Words>
  <Characters>6980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8032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Lenka Šimonyiová</cp:lastModifiedBy>
  <cp:revision>4</cp:revision>
  <cp:lastPrinted>2022-04-13T13:59:00Z</cp:lastPrinted>
  <dcterms:created xsi:type="dcterms:W3CDTF">2022-04-18T18:53:00Z</dcterms:created>
  <dcterms:modified xsi:type="dcterms:W3CDTF">2022-04-21T14:23:00Z</dcterms:modified>
</cp:coreProperties>
</file>