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DB2F" w14:textId="77777777" w:rsidR="002E3236" w:rsidRPr="00BF68EB" w:rsidRDefault="00246815">
      <w:pPr>
        <w:spacing w:before="1"/>
        <w:ind w:left="2269" w:right="2269"/>
        <w:jc w:val="center"/>
        <w:rPr>
          <w:rFonts w:ascii="Cambria" w:hAnsi="Cambria"/>
          <w:b/>
        </w:rPr>
      </w:pPr>
      <w:r w:rsidRPr="00BF68EB">
        <w:rPr>
          <w:rFonts w:ascii="Cambria" w:hAnsi="Cambria"/>
          <w:b/>
        </w:rPr>
        <w:t>Dohoda o zachovávaní mlčanlivosti</w:t>
      </w:r>
    </w:p>
    <w:p w14:paraId="688E5F9B" w14:textId="77777777" w:rsidR="002E3236" w:rsidRPr="00BF68EB" w:rsidRDefault="002E3236">
      <w:pPr>
        <w:pStyle w:val="BodyText"/>
        <w:spacing w:before="9"/>
        <w:rPr>
          <w:rFonts w:ascii="Cambria" w:hAnsi="Cambria"/>
          <w:b/>
        </w:rPr>
      </w:pPr>
    </w:p>
    <w:p w14:paraId="38F6ACBA" w14:textId="77777777" w:rsidR="002E3236" w:rsidRPr="00BF68EB" w:rsidRDefault="00246815">
      <w:pPr>
        <w:pStyle w:val="BodyText"/>
        <w:spacing w:line="276" w:lineRule="auto"/>
        <w:ind w:left="1083" w:right="387" w:hanging="310"/>
        <w:rPr>
          <w:rFonts w:ascii="Cambria" w:hAnsi="Cambria"/>
        </w:rPr>
      </w:pPr>
      <w:r w:rsidRPr="00BF68EB">
        <w:rPr>
          <w:rFonts w:ascii="Cambria" w:hAnsi="Cambria"/>
        </w:rPr>
        <w:t xml:space="preserve">uzatvorená v zmysle </w:t>
      </w:r>
      <w:proofErr w:type="spellStart"/>
      <w:r w:rsidRPr="00BF68EB">
        <w:rPr>
          <w:rFonts w:ascii="Cambria" w:hAnsi="Cambria"/>
        </w:rPr>
        <w:t>ust</w:t>
      </w:r>
      <w:proofErr w:type="spellEnd"/>
      <w:r w:rsidRPr="00BF68EB">
        <w:rPr>
          <w:rFonts w:ascii="Cambria" w:hAnsi="Cambria"/>
        </w:rPr>
        <w:t>. § 269 ods. 2 zákona č. 513/1991 Zb. Obchodný zákonník v znení neskorších právnych predpisov (ďalej len „</w:t>
      </w:r>
      <w:r w:rsidRPr="00BF68EB">
        <w:rPr>
          <w:rFonts w:ascii="Cambria" w:hAnsi="Cambria"/>
          <w:b/>
        </w:rPr>
        <w:t>Obchodný zákonník</w:t>
      </w:r>
      <w:r w:rsidRPr="00BF68EB">
        <w:rPr>
          <w:rFonts w:ascii="Cambria" w:hAnsi="Cambria"/>
        </w:rPr>
        <w:t>“)</w:t>
      </w:r>
    </w:p>
    <w:p w14:paraId="6A4D393A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2F996839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2B4019BE" w14:textId="77777777" w:rsidR="002E3236" w:rsidRPr="00BF68EB" w:rsidRDefault="002E3236">
      <w:pPr>
        <w:pStyle w:val="BodyText"/>
        <w:spacing w:before="9"/>
        <w:rPr>
          <w:rFonts w:ascii="Cambria" w:hAnsi="Cambria"/>
        </w:rPr>
      </w:pPr>
    </w:p>
    <w:p w14:paraId="552848FE" w14:textId="77777777" w:rsidR="002E3236" w:rsidRPr="00BF68EB" w:rsidRDefault="00246815">
      <w:pPr>
        <w:pStyle w:val="Heading1"/>
        <w:numPr>
          <w:ilvl w:val="0"/>
          <w:numId w:val="6"/>
        </w:numPr>
        <w:tabs>
          <w:tab w:val="left" w:pos="3992"/>
          <w:tab w:val="left" w:pos="3993"/>
        </w:tabs>
        <w:spacing w:before="1"/>
        <w:jc w:val="left"/>
        <w:rPr>
          <w:rFonts w:ascii="Cambria" w:hAnsi="Cambria"/>
        </w:rPr>
      </w:pPr>
      <w:r w:rsidRPr="00BF68EB">
        <w:rPr>
          <w:rFonts w:ascii="Cambria" w:hAnsi="Cambria"/>
        </w:rPr>
        <w:t>ZMLUVNÉ STRANY</w:t>
      </w:r>
    </w:p>
    <w:p w14:paraId="0585103E" w14:textId="77777777" w:rsidR="002E3236" w:rsidRPr="00BF68EB" w:rsidRDefault="002E3236">
      <w:pPr>
        <w:pStyle w:val="BodyText"/>
        <w:spacing w:before="10"/>
        <w:rPr>
          <w:rFonts w:ascii="Cambria" w:hAnsi="Cambria"/>
          <w:b/>
        </w:rPr>
      </w:pPr>
    </w:p>
    <w:p w14:paraId="7714751C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Názov: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  <w:b/>
          <w:bCs/>
          <w:spacing w:val="-1"/>
        </w:rPr>
        <w:t>Národná banka Slovenska</w:t>
      </w:r>
    </w:p>
    <w:p w14:paraId="66DDA463" w14:textId="77777777" w:rsidR="00BF68EB" w:rsidRPr="00BF68EB" w:rsidRDefault="00BF68EB" w:rsidP="00BF68EB">
      <w:pPr>
        <w:tabs>
          <w:tab w:val="left" w:pos="2835"/>
          <w:tab w:val="left" w:pos="2977"/>
        </w:tabs>
        <w:kinsoku w:val="0"/>
        <w:overflowPunct w:val="0"/>
        <w:ind w:right="-22"/>
        <w:rPr>
          <w:rFonts w:ascii="Cambria" w:hAnsi="Cambria"/>
          <w:spacing w:val="39"/>
        </w:rPr>
      </w:pPr>
      <w:r w:rsidRPr="00BF68EB">
        <w:rPr>
          <w:rFonts w:ascii="Cambria" w:hAnsi="Cambria"/>
          <w:spacing w:val="-1"/>
        </w:rPr>
        <w:t>Sídlo:</w:t>
      </w:r>
      <w:r w:rsidRPr="00BF68EB">
        <w:rPr>
          <w:rFonts w:ascii="Cambria" w:hAnsi="Cambria"/>
          <w:spacing w:val="-1"/>
        </w:rPr>
        <w:tab/>
        <w:t>Imricha</w:t>
      </w:r>
      <w:r w:rsidRPr="00BF68EB">
        <w:rPr>
          <w:rFonts w:ascii="Cambria" w:hAnsi="Cambria"/>
        </w:rPr>
        <w:t xml:space="preserve"> </w:t>
      </w:r>
      <w:proofErr w:type="spellStart"/>
      <w:r w:rsidRPr="00BF68EB">
        <w:rPr>
          <w:rFonts w:ascii="Cambria" w:hAnsi="Cambria"/>
          <w:spacing w:val="-1"/>
        </w:rPr>
        <w:t>Karvaša</w:t>
      </w:r>
      <w:proofErr w:type="spellEnd"/>
      <w:r w:rsidRPr="00BF68EB">
        <w:rPr>
          <w:rFonts w:ascii="Cambria" w:hAnsi="Cambria"/>
        </w:rPr>
        <w:t xml:space="preserve"> 1, 813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25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  <w:spacing w:val="-1"/>
        </w:rPr>
        <w:t>Bratislava</w:t>
      </w:r>
      <w:r w:rsidRPr="00BF68EB">
        <w:rPr>
          <w:rFonts w:ascii="Cambria" w:hAnsi="Cambria"/>
          <w:spacing w:val="39"/>
        </w:rPr>
        <w:t xml:space="preserve"> </w:t>
      </w:r>
    </w:p>
    <w:p w14:paraId="5FF8557C" w14:textId="7788AA12" w:rsidR="00BF68EB" w:rsidRPr="00BF68EB" w:rsidRDefault="00BF68EB" w:rsidP="00BF68EB">
      <w:pPr>
        <w:tabs>
          <w:tab w:val="left" w:pos="2835"/>
        </w:tabs>
        <w:kinsoku w:val="0"/>
        <w:overflowPunct w:val="0"/>
        <w:ind w:left="2835" w:right="-22" w:hanging="2835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Zastúpený:</w:t>
      </w:r>
      <w:r w:rsidRPr="00BF68EB">
        <w:rPr>
          <w:rFonts w:ascii="Cambria" w:hAnsi="Cambria"/>
          <w:spacing w:val="-1"/>
        </w:rPr>
        <w:tab/>
      </w:r>
      <w:r w:rsidR="00033F61" w:rsidRPr="00033F61">
        <w:rPr>
          <w:rFonts w:ascii="Cambria" w:hAnsi="Cambria"/>
          <w:spacing w:val="-1"/>
        </w:rPr>
        <w:t>Ing. Karol Lintner, riaditeľ, odbor ochrany a bezpečnosti</w:t>
      </w:r>
    </w:p>
    <w:p w14:paraId="54F468FC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IČO: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</w:rPr>
        <w:t xml:space="preserve">30 </w:t>
      </w:r>
      <w:r w:rsidRPr="00BF68EB">
        <w:rPr>
          <w:rFonts w:ascii="Cambria" w:hAnsi="Cambria"/>
          <w:spacing w:val="-1"/>
        </w:rPr>
        <w:t>844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789</w:t>
      </w:r>
    </w:p>
    <w:p w14:paraId="3F6C7DD0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</w:rPr>
        <w:t>IČ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  <w:spacing w:val="-2"/>
        </w:rPr>
        <w:t>DPH:</w:t>
      </w:r>
      <w:r w:rsidRPr="00BF68EB">
        <w:rPr>
          <w:rFonts w:ascii="Cambria" w:hAnsi="Cambria"/>
          <w:spacing w:val="-2"/>
        </w:rPr>
        <w:tab/>
      </w:r>
      <w:r w:rsidRPr="00BF68EB">
        <w:rPr>
          <w:rFonts w:ascii="Cambria" w:hAnsi="Cambria"/>
          <w:spacing w:val="-1"/>
        </w:rPr>
        <w:t>SK2020815654</w:t>
      </w:r>
    </w:p>
    <w:p w14:paraId="40236E7A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DIČ: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  <w:spacing w:val="-1"/>
        </w:rPr>
        <w:tab/>
        <w:t>2020815654</w:t>
      </w:r>
    </w:p>
    <w:p w14:paraId="2A5216F6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Bankové</w:t>
      </w:r>
      <w:r w:rsidRPr="00BF68EB">
        <w:rPr>
          <w:rFonts w:ascii="Cambria" w:hAnsi="Cambria"/>
          <w:spacing w:val="-3"/>
        </w:rPr>
        <w:t xml:space="preserve"> </w:t>
      </w:r>
      <w:r w:rsidRPr="00BF68EB">
        <w:rPr>
          <w:rFonts w:ascii="Cambria" w:hAnsi="Cambria"/>
          <w:spacing w:val="-1"/>
        </w:rPr>
        <w:t>spojenie.</w:t>
      </w:r>
      <w:r w:rsidRPr="00BF68EB">
        <w:rPr>
          <w:rFonts w:ascii="Cambria" w:hAnsi="Cambria"/>
          <w:spacing w:val="-1"/>
        </w:rPr>
        <w:tab/>
        <w:t>Národná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banka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Slovenska</w:t>
      </w:r>
    </w:p>
    <w:p w14:paraId="2A47B0A3" w14:textId="77777777" w:rsidR="00BF68EB" w:rsidRPr="00BF68EB" w:rsidRDefault="00BF68EB" w:rsidP="00BF68EB">
      <w:pPr>
        <w:tabs>
          <w:tab w:val="left" w:pos="567"/>
          <w:tab w:val="left" w:pos="2835"/>
          <w:tab w:val="left" w:pos="2977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Číslo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účtu v tvare IBAN: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</w:rPr>
        <w:t>SK07 0720 0000 0000 0000 1919</w:t>
      </w:r>
    </w:p>
    <w:p w14:paraId="1B502BD1" w14:textId="77777777" w:rsidR="00BF68EB" w:rsidRPr="00BF68EB" w:rsidRDefault="00BF68EB" w:rsidP="00BF68EB">
      <w:pPr>
        <w:tabs>
          <w:tab w:val="left" w:pos="567"/>
        </w:tabs>
        <w:kinsoku w:val="0"/>
        <w:overflowPunct w:val="0"/>
        <w:ind w:right="-22"/>
        <w:jc w:val="both"/>
        <w:rPr>
          <w:rFonts w:ascii="Cambria" w:hAnsi="Cambria"/>
        </w:rPr>
      </w:pPr>
      <w:r w:rsidRPr="00BF68EB">
        <w:rPr>
          <w:rFonts w:ascii="Cambria" w:hAnsi="Cambria"/>
          <w:spacing w:val="-1"/>
        </w:rPr>
        <w:t>NBS je zriadená zákonom NR SR č. 566/1992 Zb. o Národnej banke Slovenska v znení neskorších predpisov</w:t>
      </w:r>
    </w:p>
    <w:p w14:paraId="5094CF95" w14:textId="77777777" w:rsidR="001A7738" w:rsidRDefault="001A7738">
      <w:pPr>
        <w:pStyle w:val="BodyText"/>
        <w:ind w:left="118"/>
        <w:rPr>
          <w:rFonts w:ascii="Cambria" w:hAnsi="Cambria"/>
        </w:rPr>
      </w:pPr>
    </w:p>
    <w:p w14:paraId="7A7ADEB5" w14:textId="77EC76EB" w:rsidR="002E3236" w:rsidRPr="00BF68EB" w:rsidRDefault="00246815">
      <w:pPr>
        <w:pStyle w:val="BodyText"/>
        <w:ind w:left="118"/>
        <w:rPr>
          <w:rFonts w:ascii="Cambria" w:hAnsi="Cambria"/>
        </w:rPr>
      </w:pPr>
      <w:r w:rsidRPr="00BF68EB">
        <w:rPr>
          <w:rFonts w:ascii="Cambria" w:hAnsi="Cambria"/>
        </w:rPr>
        <w:t>(ďalej len „</w:t>
      </w:r>
      <w:r w:rsidR="002F7235">
        <w:rPr>
          <w:rFonts w:ascii="Cambria" w:hAnsi="Cambria"/>
        </w:rPr>
        <w:t>NBS</w:t>
      </w:r>
      <w:r w:rsidRPr="00BF68EB">
        <w:rPr>
          <w:rFonts w:ascii="Cambria" w:hAnsi="Cambria"/>
        </w:rPr>
        <w:t>“)</w:t>
      </w:r>
    </w:p>
    <w:p w14:paraId="276BECBF" w14:textId="77777777" w:rsidR="002E3236" w:rsidRPr="00BF68EB" w:rsidRDefault="00246815">
      <w:pPr>
        <w:pStyle w:val="BodyText"/>
        <w:spacing w:before="206"/>
        <w:ind w:left="118"/>
        <w:rPr>
          <w:rFonts w:ascii="Cambria" w:hAnsi="Cambria"/>
        </w:rPr>
      </w:pPr>
      <w:r w:rsidRPr="00BF68EB">
        <w:rPr>
          <w:rFonts w:ascii="Cambria" w:hAnsi="Cambria"/>
          <w:w w:val="99"/>
        </w:rPr>
        <w:t>a</w:t>
      </w:r>
    </w:p>
    <w:p w14:paraId="53CA5E20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5BB8D498" w14:textId="77777777" w:rsidR="00BF68EB" w:rsidRPr="00BF68EB" w:rsidRDefault="00BF68EB" w:rsidP="00BF68EB">
      <w:pPr>
        <w:rPr>
          <w:rFonts w:ascii="Cambria" w:hAnsi="Cambria"/>
        </w:rPr>
      </w:pPr>
      <w:r w:rsidRPr="00BF68EB">
        <w:rPr>
          <w:rFonts w:ascii="Cambria" w:hAnsi="Cambria"/>
        </w:rPr>
        <w:t>Obchodné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meno:</w:t>
      </w:r>
      <w:r w:rsidRPr="00BF68EB">
        <w:rPr>
          <w:rFonts w:ascii="Cambria" w:hAnsi="Cambria"/>
        </w:rPr>
        <w:tab/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5CC0BCBC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Sídlo: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69155940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Zastúpený: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730DEE19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IČO: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78742CF7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IČ DPH: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1BEDF18D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DIČ: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12585E68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Bankové spojenie: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632A6763" w14:textId="77777777" w:rsidR="00BF68EB" w:rsidRPr="00BF68EB" w:rsidRDefault="00BF68EB" w:rsidP="00BF68EB">
      <w:pPr>
        <w:tabs>
          <w:tab w:val="left" w:pos="567"/>
        </w:tabs>
        <w:kinsoku w:val="0"/>
        <w:overflowPunct w:val="0"/>
        <w:ind w:right="-22"/>
        <w:rPr>
          <w:rFonts w:ascii="Cambria" w:hAnsi="Cambria"/>
        </w:rPr>
      </w:pPr>
      <w:r w:rsidRPr="00BF68EB">
        <w:rPr>
          <w:rFonts w:ascii="Cambria" w:hAnsi="Cambria"/>
        </w:rPr>
        <w:t>Číslo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účtu v tvare IBAN: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6CCD363A" w14:textId="77777777" w:rsidR="00BF68EB" w:rsidRPr="00BF68EB" w:rsidRDefault="00BF68EB" w:rsidP="00BF68EB">
      <w:pPr>
        <w:tabs>
          <w:tab w:val="left" w:pos="567"/>
        </w:tabs>
        <w:kinsoku w:val="0"/>
        <w:overflowPunct w:val="0"/>
        <w:ind w:right="-22"/>
        <w:rPr>
          <w:rFonts w:ascii="Cambria" w:hAnsi="Cambria"/>
        </w:rPr>
      </w:pPr>
      <w:r w:rsidRPr="00BF68EB">
        <w:rPr>
          <w:rFonts w:ascii="Cambria" w:hAnsi="Cambria"/>
        </w:rPr>
        <w:t>Zapísaný:</w:t>
      </w:r>
      <w:r w:rsidRPr="00BF68EB">
        <w:rPr>
          <w:rFonts w:ascii="Cambria" w:hAnsi="Cambria"/>
        </w:rPr>
        <w:tab/>
      </w:r>
      <w:r w:rsidRPr="00BF68EB">
        <w:rPr>
          <w:rFonts w:ascii="Cambria" w:hAnsi="Cambria"/>
        </w:rPr>
        <w:tab/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079D538F" w14:textId="77777777" w:rsidR="002E3236" w:rsidRPr="00BF68EB" w:rsidRDefault="002E3236">
      <w:pPr>
        <w:pStyle w:val="BodyText"/>
        <w:spacing w:before="10"/>
        <w:rPr>
          <w:rFonts w:ascii="Cambria" w:hAnsi="Cambria"/>
        </w:rPr>
      </w:pPr>
    </w:p>
    <w:p w14:paraId="399B38B1" w14:textId="77777777" w:rsidR="002E3236" w:rsidRPr="00BF68EB" w:rsidRDefault="00246815">
      <w:pPr>
        <w:pStyle w:val="BodyText"/>
        <w:ind w:left="118"/>
        <w:rPr>
          <w:rFonts w:ascii="Cambria" w:hAnsi="Cambria"/>
        </w:rPr>
      </w:pPr>
      <w:r w:rsidRPr="00BF68EB">
        <w:rPr>
          <w:rFonts w:ascii="Cambria" w:hAnsi="Cambria"/>
        </w:rPr>
        <w:t>(ďalej len „Hospodársky subjekt“)</w:t>
      </w:r>
    </w:p>
    <w:p w14:paraId="12DAAA6E" w14:textId="77777777" w:rsidR="002E3236" w:rsidRPr="00BF68EB" w:rsidRDefault="002E3236">
      <w:pPr>
        <w:pStyle w:val="BodyText"/>
        <w:spacing w:before="1"/>
        <w:rPr>
          <w:rFonts w:ascii="Cambria" w:hAnsi="Cambria"/>
        </w:rPr>
      </w:pPr>
    </w:p>
    <w:p w14:paraId="69C9066A" w14:textId="459B15E0" w:rsidR="002E3236" w:rsidRDefault="00246815">
      <w:pPr>
        <w:pStyle w:val="BodyText"/>
        <w:ind w:left="118"/>
        <w:rPr>
          <w:rFonts w:ascii="Cambria" w:hAnsi="Cambria"/>
        </w:rPr>
      </w:pPr>
      <w:r w:rsidRPr="00BF68EB">
        <w:rPr>
          <w:rFonts w:ascii="Cambria" w:hAnsi="Cambria"/>
        </w:rPr>
        <w:t>(ďalej spolu len „Zmluvné strany” alebo jednotlivo ako „Zmluvná strana“)</w:t>
      </w:r>
    </w:p>
    <w:p w14:paraId="69A2F9A1" w14:textId="2C4F8BBA" w:rsidR="001A7738" w:rsidRDefault="001A7738">
      <w:pPr>
        <w:pStyle w:val="BodyText"/>
        <w:ind w:left="118"/>
        <w:rPr>
          <w:rFonts w:ascii="Cambria" w:hAnsi="Cambria"/>
        </w:rPr>
      </w:pPr>
    </w:p>
    <w:p w14:paraId="02B02A2D" w14:textId="77777777" w:rsidR="001A7738" w:rsidRPr="00BF68EB" w:rsidRDefault="001A7738">
      <w:pPr>
        <w:pStyle w:val="BodyText"/>
        <w:ind w:left="118"/>
        <w:rPr>
          <w:rFonts w:ascii="Cambria" w:hAnsi="Cambria"/>
        </w:rPr>
      </w:pPr>
    </w:p>
    <w:p w14:paraId="2E6D9F33" w14:textId="77777777" w:rsidR="002E3236" w:rsidRPr="00BF68EB" w:rsidRDefault="00246815">
      <w:pPr>
        <w:pStyle w:val="Heading1"/>
        <w:numPr>
          <w:ilvl w:val="0"/>
          <w:numId w:val="6"/>
        </w:numPr>
        <w:tabs>
          <w:tab w:val="left" w:pos="4303"/>
          <w:tab w:val="left" w:pos="4304"/>
        </w:tabs>
        <w:spacing w:before="77"/>
        <w:ind w:left="4303"/>
        <w:jc w:val="left"/>
        <w:rPr>
          <w:rFonts w:ascii="Cambria" w:hAnsi="Cambria"/>
        </w:rPr>
      </w:pPr>
      <w:r w:rsidRPr="00BF68EB">
        <w:rPr>
          <w:rFonts w:ascii="Cambria" w:hAnsi="Cambria"/>
        </w:rPr>
        <w:t>PREAMBULA</w:t>
      </w:r>
    </w:p>
    <w:p w14:paraId="3E812B90" w14:textId="77777777" w:rsidR="002E3236" w:rsidRPr="00BF68EB" w:rsidRDefault="002E3236">
      <w:pPr>
        <w:pStyle w:val="BodyText"/>
        <w:spacing w:before="9"/>
        <w:rPr>
          <w:rFonts w:ascii="Cambria" w:hAnsi="Cambria"/>
          <w:b/>
        </w:rPr>
      </w:pPr>
    </w:p>
    <w:p w14:paraId="7C710A73" w14:textId="5EAE298C" w:rsidR="002E3236" w:rsidRPr="003100B8" w:rsidRDefault="00246815">
      <w:pPr>
        <w:pStyle w:val="ListParagraph"/>
        <w:numPr>
          <w:ilvl w:val="1"/>
          <w:numId w:val="5"/>
        </w:numPr>
        <w:tabs>
          <w:tab w:val="left" w:pos="687"/>
        </w:tabs>
        <w:spacing w:before="1"/>
        <w:rPr>
          <w:rFonts w:ascii="Cambria" w:hAnsi="Cambria"/>
          <w:i/>
        </w:rPr>
      </w:pPr>
      <w:r w:rsidRPr="00BF68EB">
        <w:rPr>
          <w:rFonts w:ascii="Cambria" w:hAnsi="Cambria"/>
        </w:rPr>
        <w:t xml:space="preserve">Zmluvné strany uzatvárajú túto </w:t>
      </w:r>
      <w:r w:rsidRPr="009F06CF">
        <w:rPr>
          <w:rFonts w:ascii="Cambria" w:hAnsi="Cambria"/>
        </w:rPr>
        <w:t>Dohodu o mlčanlivosti (ďalej len „Dohoda“) za účelom oboznámenia sa so súťažnými podkladmi na</w:t>
      </w:r>
      <w:r w:rsidR="00CE0F29" w:rsidRPr="003100B8">
        <w:rPr>
          <w:rFonts w:ascii="Cambria" w:hAnsi="Cambria"/>
        </w:rPr>
        <w:t xml:space="preserve"> 1</w:t>
      </w:r>
      <w:r w:rsidR="00BB59AF" w:rsidRPr="003100B8">
        <w:rPr>
          <w:rFonts w:ascii="Cambria" w:hAnsi="Cambria"/>
        </w:rPr>
        <w:t>.</w:t>
      </w:r>
      <w:r w:rsidR="00BB59AF" w:rsidRPr="009F06CF">
        <w:rPr>
          <w:rFonts w:ascii="Cambria" w:hAnsi="Cambria"/>
        </w:rPr>
        <w:t xml:space="preserve"> časť </w:t>
      </w:r>
      <w:r w:rsidRPr="003100B8">
        <w:rPr>
          <w:rFonts w:ascii="Cambria" w:hAnsi="Cambria"/>
        </w:rPr>
        <w:t xml:space="preserve">zákazky </w:t>
      </w:r>
      <w:r w:rsidR="00BB59AF" w:rsidRPr="003100B8">
        <w:rPr>
          <w:rFonts w:ascii="Cambria" w:hAnsi="Cambria"/>
        </w:rPr>
        <w:t xml:space="preserve">s názvom </w:t>
      </w:r>
      <w:r w:rsidRPr="003100B8">
        <w:rPr>
          <w:rFonts w:ascii="Cambria" w:hAnsi="Cambria"/>
          <w:b/>
        </w:rPr>
        <w:t>„</w:t>
      </w:r>
      <w:r w:rsidR="00CE0F29" w:rsidRPr="003100B8">
        <w:rPr>
          <w:rFonts w:ascii="Cambria" w:hAnsi="Cambria"/>
        </w:rPr>
        <w:t>Špeciálne prepravné vozidlá</w:t>
      </w:r>
      <w:r w:rsidRPr="003100B8">
        <w:rPr>
          <w:rFonts w:ascii="Cambria" w:hAnsi="Cambria"/>
          <w:b/>
        </w:rPr>
        <w:t xml:space="preserve">“ </w:t>
      </w:r>
      <w:r w:rsidRPr="003100B8">
        <w:rPr>
          <w:rFonts w:ascii="Cambria" w:hAnsi="Cambria"/>
        </w:rPr>
        <w:t>uskutočňovaný postupom – užšia</w:t>
      </w:r>
      <w:r w:rsidRPr="003100B8">
        <w:rPr>
          <w:rFonts w:ascii="Cambria" w:hAnsi="Cambria"/>
          <w:spacing w:val="-1"/>
        </w:rPr>
        <w:t xml:space="preserve"> </w:t>
      </w:r>
      <w:r w:rsidRPr="003100B8">
        <w:rPr>
          <w:rFonts w:ascii="Cambria" w:hAnsi="Cambria"/>
        </w:rPr>
        <w:t>súťaž</w:t>
      </w:r>
      <w:r w:rsidRPr="003100B8">
        <w:rPr>
          <w:rFonts w:ascii="Cambria" w:hAnsi="Cambria"/>
          <w:i/>
        </w:rPr>
        <w:t>.</w:t>
      </w:r>
    </w:p>
    <w:p w14:paraId="17AAE780" w14:textId="77777777" w:rsidR="002E3236" w:rsidRPr="003100B8" w:rsidRDefault="002E3236">
      <w:pPr>
        <w:pStyle w:val="BodyText"/>
        <w:spacing w:before="11"/>
        <w:rPr>
          <w:rFonts w:ascii="Cambria" w:hAnsi="Cambria"/>
          <w:i/>
        </w:rPr>
      </w:pPr>
    </w:p>
    <w:p w14:paraId="127FC796" w14:textId="77777777" w:rsidR="002E3236" w:rsidRPr="003100B8" w:rsidRDefault="00246815">
      <w:pPr>
        <w:pStyle w:val="ListParagraph"/>
        <w:numPr>
          <w:ilvl w:val="1"/>
          <w:numId w:val="5"/>
        </w:numPr>
        <w:tabs>
          <w:tab w:val="left" w:pos="687"/>
        </w:tabs>
        <w:ind w:right="0" w:hanging="569"/>
        <w:rPr>
          <w:rFonts w:ascii="Cambria" w:hAnsi="Cambria"/>
        </w:rPr>
      </w:pPr>
      <w:r w:rsidRPr="003100B8">
        <w:rPr>
          <w:rFonts w:ascii="Cambria" w:hAnsi="Cambria"/>
        </w:rPr>
        <w:t>Zmluvné strany uzatvárajú túto Dohodu s ohľadom na skutočnosti,</w:t>
      </w:r>
      <w:r w:rsidRPr="003100B8">
        <w:rPr>
          <w:rFonts w:ascii="Cambria" w:hAnsi="Cambria"/>
          <w:spacing w:val="-4"/>
        </w:rPr>
        <w:t xml:space="preserve"> </w:t>
      </w:r>
      <w:r w:rsidRPr="003100B8">
        <w:rPr>
          <w:rFonts w:ascii="Cambria" w:hAnsi="Cambria"/>
        </w:rPr>
        <w:t>že:</w:t>
      </w:r>
    </w:p>
    <w:p w14:paraId="4B186DCE" w14:textId="7F0B7B9B" w:rsidR="002E3236" w:rsidRPr="00BF68EB" w:rsidRDefault="00CE40A9">
      <w:pPr>
        <w:pStyle w:val="ListParagraph"/>
        <w:numPr>
          <w:ilvl w:val="2"/>
          <w:numId w:val="5"/>
        </w:numPr>
        <w:tabs>
          <w:tab w:val="left" w:pos="833"/>
        </w:tabs>
        <w:spacing w:before="120"/>
        <w:ind w:right="112"/>
        <w:rPr>
          <w:rFonts w:ascii="Cambria" w:hAnsi="Cambria"/>
        </w:rPr>
      </w:pPr>
      <w:r w:rsidRPr="003100B8">
        <w:rPr>
          <w:rFonts w:ascii="Cambria" w:hAnsi="Cambria"/>
        </w:rPr>
        <w:t>NBS</w:t>
      </w:r>
      <w:r w:rsidR="00246815" w:rsidRPr="003100B8">
        <w:rPr>
          <w:rFonts w:ascii="Cambria" w:hAnsi="Cambria"/>
        </w:rPr>
        <w:t xml:space="preserve"> poskytne  hospodárskemu subjektu časť súťažných  podkladov  - prílohu č.  </w:t>
      </w:r>
      <w:r w:rsidR="005C490D" w:rsidRPr="003100B8">
        <w:rPr>
          <w:rFonts w:ascii="Cambria" w:hAnsi="Cambria"/>
        </w:rPr>
        <w:t>1</w:t>
      </w:r>
      <w:r w:rsidR="00246815" w:rsidRPr="003100B8">
        <w:rPr>
          <w:rFonts w:ascii="Cambria" w:hAnsi="Cambria"/>
        </w:rPr>
        <w:t xml:space="preserve">  k Zmluve o dielo </w:t>
      </w:r>
      <w:r w:rsidR="00AB5B41" w:rsidRPr="003100B8">
        <w:rPr>
          <w:rFonts w:ascii="Cambria" w:hAnsi="Cambria"/>
        </w:rPr>
        <w:t xml:space="preserve">č. </w:t>
      </w:r>
      <w:r w:rsidR="00BB59AF" w:rsidRPr="003100B8">
        <w:rPr>
          <w:rFonts w:ascii="Cambria" w:hAnsi="Cambria"/>
        </w:rPr>
        <w:t xml:space="preserve">C-NBS1-000-071-962 </w:t>
      </w:r>
      <w:r w:rsidR="00AB5B41">
        <w:rPr>
          <w:rFonts w:ascii="Cambria" w:hAnsi="Cambria"/>
        </w:rPr>
        <w:t xml:space="preserve">(ďalej len „zmluva o dielo“) </w:t>
      </w:r>
      <w:r w:rsidR="00246815" w:rsidRPr="00BF68EB">
        <w:rPr>
          <w:rFonts w:ascii="Cambria" w:hAnsi="Cambria"/>
        </w:rPr>
        <w:t>potrebnú na oboznámenie sa s ňou a možnosťou predloženia ponuky,</w:t>
      </w:r>
    </w:p>
    <w:p w14:paraId="0339470A" w14:textId="784B3F9A" w:rsidR="002E3236" w:rsidRPr="00BF68EB" w:rsidRDefault="00246815">
      <w:pPr>
        <w:pStyle w:val="ListParagraph"/>
        <w:numPr>
          <w:ilvl w:val="2"/>
          <w:numId w:val="5"/>
        </w:numPr>
        <w:tabs>
          <w:tab w:val="left" w:pos="840"/>
        </w:tabs>
        <w:spacing w:before="1"/>
        <w:ind w:left="838" w:hanging="360"/>
        <w:rPr>
          <w:rFonts w:ascii="Cambria" w:hAnsi="Cambria"/>
        </w:rPr>
      </w:pPr>
      <w:r w:rsidRPr="00BF68EB">
        <w:rPr>
          <w:rFonts w:ascii="Cambria" w:hAnsi="Cambria"/>
        </w:rPr>
        <w:t>poskytované dokumenty obsahujú dáta, ktoré</w:t>
      </w:r>
      <w:r w:rsidR="00DC18B2">
        <w:rPr>
          <w:rFonts w:ascii="Cambria" w:hAnsi="Cambria"/>
        </w:rPr>
        <w:t xml:space="preserve"> </w:t>
      </w:r>
      <w:r w:rsidR="00224556">
        <w:rPr>
          <w:rFonts w:ascii="Cambria" w:hAnsi="Cambria"/>
        </w:rPr>
        <w:t>predstavujú</w:t>
      </w:r>
      <w:r w:rsidR="001775D2">
        <w:rPr>
          <w:rFonts w:ascii="Cambria" w:hAnsi="Cambria"/>
        </w:rPr>
        <w:t xml:space="preserve">  chránené informácie podľa čl. 2 pracovného predpisu Národnej banky Slovenska č. 21/2011 o chránených informáciách v podmienkach Národnej banky Slovenska v znení neskorších predpisov</w:t>
      </w:r>
    </w:p>
    <w:p w14:paraId="4766FDE2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5526AA3C" w14:textId="77777777" w:rsidR="002E3236" w:rsidRPr="00BF68EB" w:rsidRDefault="002E3236">
      <w:pPr>
        <w:pStyle w:val="BodyText"/>
        <w:spacing w:before="1"/>
        <w:rPr>
          <w:rFonts w:ascii="Cambria" w:hAnsi="Cambria"/>
        </w:rPr>
      </w:pPr>
    </w:p>
    <w:p w14:paraId="475D9630" w14:textId="77777777" w:rsidR="002E3236" w:rsidRPr="00BF68EB" w:rsidRDefault="00246815" w:rsidP="004F2AF0">
      <w:pPr>
        <w:pStyle w:val="Heading1"/>
        <w:keepNext/>
        <w:numPr>
          <w:ilvl w:val="0"/>
          <w:numId w:val="6"/>
        </w:numPr>
        <w:tabs>
          <w:tab w:val="left" w:pos="4141"/>
          <w:tab w:val="left" w:pos="4142"/>
        </w:tabs>
        <w:ind w:left="4141" w:hanging="721"/>
        <w:jc w:val="left"/>
        <w:rPr>
          <w:rFonts w:ascii="Cambria" w:hAnsi="Cambria"/>
        </w:rPr>
      </w:pPr>
      <w:r w:rsidRPr="00BF68EB">
        <w:rPr>
          <w:rFonts w:ascii="Cambria" w:hAnsi="Cambria"/>
        </w:rPr>
        <w:t>PREDMET DOHODY</w:t>
      </w:r>
    </w:p>
    <w:p w14:paraId="6C5799D5" w14:textId="77777777" w:rsidR="002E3236" w:rsidRPr="00BF68EB" w:rsidRDefault="002E3236" w:rsidP="004F2AF0">
      <w:pPr>
        <w:pStyle w:val="BodyText"/>
        <w:keepNext/>
        <w:spacing w:before="9"/>
        <w:rPr>
          <w:rFonts w:ascii="Cambria" w:hAnsi="Cambria"/>
          <w:b/>
        </w:rPr>
      </w:pPr>
    </w:p>
    <w:p w14:paraId="77B57DE1" w14:textId="449BFE97" w:rsidR="002E3236" w:rsidRPr="00BF68EB" w:rsidRDefault="00CE40A9" w:rsidP="004F2AF0">
      <w:pPr>
        <w:pStyle w:val="ListParagraph"/>
        <w:keepNext/>
        <w:numPr>
          <w:ilvl w:val="1"/>
          <w:numId w:val="4"/>
        </w:numPr>
        <w:tabs>
          <w:tab w:val="left" w:pos="657"/>
        </w:tabs>
        <w:spacing w:before="1"/>
        <w:ind w:right="114"/>
        <w:rPr>
          <w:rFonts w:ascii="Cambria" w:hAnsi="Cambria"/>
        </w:rPr>
      </w:pPr>
      <w:r>
        <w:rPr>
          <w:rFonts w:ascii="Cambria" w:hAnsi="Cambria"/>
        </w:rPr>
        <w:t>NBS</w:t>
      </w:r>
      <w:r w:rsidR="00246815" w:rsidRPr="00BF68EB">
        <w:rPr>
          <w:rFonts w:ascii="Cambria" w:hAnsi="Cambria"/>
        </w:rPr>
        <w:t xml:space="preserve"> poskytne hospodárskemu subjektu časť súťažných podkladov - prílohu č. </w:t>
      </w:r>
      <w:r w:rsidR="005C490D" w:rsidRPr="00BF68EB">
        <w:rPr>
          <w:rFonts w:ascii="Cambria" w:hAnsi="Cambria"/>
        </w:rPr>
        <w:t>1</w:t>
      </w:r>
      <w:r w:rsidR="00246815" w:rsidRPr="00BF68EB">
        <w:rPr>
          <w:rFonts w:ascii="Cambria" w:hAnsi="Cambria"/>
        </w:rPr>
        <w:t xml:space="preserve"> k Zmluve o dielo za účelom oboznámeni</w:t>
      </w:r>
      <w:r w:rsidR="004E06B8">
        <w:rPr>
          <w:rFonts w:ascii="Cambria" w:hAnsi="Cambria"/>
        </w:rPr>
        <w:t>a</w:t>
      </w:r>
      <w:r w:rsidR="00246815" w:rsidRPr="00BF68EB">
        <w:rPr>
          <w:rFonts w:ascii="Cambria" w:hAnsi="Cambria"/>
        </w:rPr>
        <w:t xml:space="preserve"> sa s ňou a možnosťou predloženia  ponuky.</w:t>
      </w:r>
    </w:p>
    <w:p w14:paraId="08AB2A89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298B7EBF" w14:textId="49EBDA7B" w:rsidR="002E3236" w:rsidRPr="00BF68EB" w:rsidRDefault="00246815">
      <w:pPr>
        <w:pStyle w:val="ListParagraph"/>
        <w:numPr>
          <w:ilvl w:val="1"/>
          <w:numId w:val="4"/>
        </w:numPr>
        <w:tabs>
          <w:tab w:val="left" w:pos="659"/>
        </w:tabs>
        <w:ind w:left="658" w:hanging="495"/>
        <w:rPr>
          <w:rFonts w:ascii="Cambria" w:hAnsi="Cambria"/>
        </w:rPr>
      </w:pPr>
      <w:r w:rsidRPr="00BF68EB">
        <w:rPr>
          <w:rFonts w:ascii="Cambria" w:hAnsi="Cambria"/>
        </w:rPr>
        <w:t>Zmluvné strany sa dohodli, že všetky informácie, špecifikácie a iné údaje bez ohľadu</w:t>
      </w:r>
      <w:r w:rsidRPr="00BF68EB">
        <w:rPr>
          <w:rFonts w:ascii="Cambria" w:hAnsi="Cambria"/>
          <w:spacing w:val="-27"/>
        </w:rPr>
        <w:t xml:space="preserve"> </w:t>
      </w:r>
      <w:r w:rsidRPr="00BF68EB">
        <w:rPr>
          <w:rFonts w:ascii="Cambria" w:hAnsi="Cambria"/>
        </w:rPr>
        <w:t xml:space="preserve">na to, či majú technický, odborný, obchodný, prevádzkový, informačný alebo iný charakter, ktoré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sprístupní hospodárskemu subjektu, sú dôverné (ďalej len</w:t>
      </w:r>
      <w:r w:rsidRPr="00BF68EB">
        <w:rPr>
          <w:rFonts w:ascii="Cambria" w:hAnsi="Cambria"/>
          <w:spacing w:val="-26"/>
        </w:rPr>
        <w:t xml:space="preserve"> </w:t>
      </w:r>
      <w:r w:rsidRPr="00BF68EB">
        <w:rPr>
          <w:rFonts w:ascii="Cambria" w:hAnsi="Cambria"/>
        </w:rPr>
        <w:t>„</w:t>
      </w:r>
      <w:r w:rsidRPr="00BF68EB">
        <w:rPr>
          <w:rFonts w:ascii="Cambria" w:hAnsi="Cambria"/>
          <w:b/>
        </w:rPr>
        <w:t>Dôverné informácie</w:t>
      </w:r>
      <w:r w:rsidRPr="00BF68EB">
        <w:rPr>
          <w:rFonts w:ascii="Cambria" w:hAnsi="Cambria"/>
        </w:rPr>
        <w:t>").</w:t>
      </w:r>
    </w:p>
    <w:p w14:paraId="678A28F8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5E8ABB83" w14:textId="77777777" w:rsidR="002E3236" w:rsidRPr="00BF68EB" w:rsidRDefault="00246815">
      <w:pPr>
        <w:pStyle w:val="ListParagraph"/>
        <w:numPr>
          <w:ilvl w:val="1"/>
          <w:numId w:val="4"/>
        </w:numPr>
        <w:tabs>
          <w:tab w:val="left" w:pos="659"/>
        </w:tabs>
        <w:ind w:left="658" w:right="114" w:hanging="495"/>
        <w:rPr>
          <w:rFonts w:ascii="Cambria" w:hAnsi="Cambria"/>
        </w:rPr>
      </w:pPr>
      <w:r w:rsidRPr="00BF68EB">
        <w:rPr>
          <w:rFonts w:ascii="Cambria" w:hAnsi="Cambria"/>
        </w:rPr>
        <w:t>Pre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vylúčenie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pochybností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Zmluvné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strany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vyhlasujú,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že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Dohoda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nemá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charakter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zmluvy o budúcej zmluve a teda nezakladá povinnosť uzatvoriť žiadnu budúcu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zmluvu.</w:t>
      </w:r>
    </w:p>
    <w:p w14:paraId="0B486676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3E57814F" w14:textId="3BA5D52B" w:rsidR="002F7235" w:rsidRPr="002F7235" w:rsidRDefault="002F7235" w:rsidP="002F7235">
      <w:pPr>
        <w:pStyle w:val="ListParagraph"/>
        <w:numPr>
          <w:ilvl w:val="1"/>
          <w:numId w:val="4"/>
        </w:numPr>
        <w:rPr>
          <w:rFonts w:ascii="Cambria" w:hAnsi="Cambria"/>
        </w:rPr>
      </w:pPr>
      <w:r w:rsidRPr="002F7235">
        <w:rPr>
          <w:rFonts w:ascii="Cambria" w:hAnsi="Cambria"/>
        </w:rPr>
        <w:tab/>
      </w:r>
      <w:r w:rsidR="00CE40A9">
        <w:rPr>
          <w:rFonts w:ascii="Cambria" w:hAnsi="Cambria"/>
        </w:rPr>
        <w:t>NBS</w:t>
      </w:r>
      <w:r w:rsidRPr="002F7235">
        <w:rPr>
          <w:rFonts w:ascii="Cambria" w:hAnsi="Cambria"/>
        </w:rPr>
        <w:t xml:space="preserve"> pri spracúvaní osobných údajov dotknutých osôb </w:t>
      </w:r>
      <w:r>
        <w:rPr>
          <w:rFonts w:ascii="Cambria" w:hAnsi="Cambria"/>
        </w:rPr>
        <w:t>hospodárskeho subjektu</w:t>
      </w:r>
      <w:r w:rsidRPr="002F7235">
        <w:rPr>
          <w:rFonts w:ascii="Cambria" w:hAnsi="Cambria"/>
        </w:rPr>
        <w:t xml:space="preserve"> pre účely plnenia tejto zmluvy postupuje v súlade so zákonom č. 18/2018 Z. z. o ochrane osobných údajov a o zmene a doplnení niektorých zákonov </w:t>
      </w:r>
      <w:r w:rsidR="000B3D01">
        <w:rPr>
          <w:rFonts w:ascii="Cambria" w:hAnsi="Cambria"/>
        </w:rPr>
        <w:t xml:space="preserve">v znení neskorších predpisov </w:t>
      </w:r>
      <w:r w:rsidRPr="002F7235">
        <w:rPr>
          <w:rFonts w:ascii="Cambria" w:hAnsi="Cambria"/>
        </w:rPr>
        <w:t xml:space="preserve">a Nariadenia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webovom sídle </w:t>
      </w:r>
      <w:r w:rsidR="00CE40A9">
        <w:rPr>
          <w:rFonts w:ascii="Cambria" w:hAnsi="Cambria"/>
        </w:rPr>
        <w:t>NBS</w:t>
      </w:r>
      <w:r w:rsidRPr="002F7235">
        <w:rPr>
          <w:rFonts w:ascii="Cambria" w:hAnsi="Cambria"/>
        </w:rPr>
        <w:t>: https://www.nbs.sk/sk/ochrana-osobnych-udajov.</w:t>
      </w:r>
    </w:p>
    <w:p w14:paraId="539AA500" w14:textId="77777777" w:rsidR="002E3236" w:rsidRPr="00BF68EB" w:rsidRDefault="002E3236">
      <w:pPr>
        <w:pStyle w:val="BodyText"/>
        <w:spacing w:before="10"/>
        <w:rPr>
          <w:rFonts w:ascii="Cambria" w:hAnsi="Cambria"/>
        </w:rPr>
      </w:pPr>
    </w:p>
    <w:p w14:paraId="6EB8DDF1" w14:textId="77777777" w:rsidR="002E3236" w:rsidRPr="00BF68EB" w:rsidRDefault="00246815">
      <w:pPr>
        <w:pStyle w:val="Heading1"/>
        <w:numPr>
          <w:ilvl w:val="0"/>
          <w:numId w:val="6"/>
        </w:numPr>
        <w:tabs>
          <w:tab w:val="left" w:pos="3690"/>
          <w:tab w:val="left" w:pos="3691"/>
        </w:tabs>
        <w:ind w:left="3690" w:hanging="722"/>
        <w:jc w:val="left"/>
        <w:rPr>
          <w:rFonts w:ascii="Cambria" w:hAnsi="Cambria"/>
        </w:rPr>
      </w:pPr>
      <w:r w:rsidRPr="00BF68EB">
        <w:rPr>
          <w:rFonts w:ascii="Cambria" w:hAnsi="Cambria"/>
        </w:rPr>
        <w:t>POVINNOSŤ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MLČANLIVOSTI</w:t>
      </w:r>
    </w:p>
    <w:p w14:paraId="45276ACD" w14:textId="77777777" w:rsidR="002E3236" w:rsidRPr="00AB5B41" w:rsidRDefault="002E3236" w:rsidP="00AB5B41">
      <w:pPr>
        <w:pStyle w:val="ListParagraph"/>
        <w:tabs>
          <w:tab w:val="left" w:pos="659"/>
        </w:tabs>
        <w:spacing w:before="1"/>
        <w:ind w:right="114" w:firstLine="0"/>
        <w:rPr>
          <w:rFonts w:ascii="Cambria" w:hAnsi="Cambria"/>
        </w:rPr>
      </w:pPr>
    </w:p>
    <w:p w14:paraId="29B09765" w14:textId="63EFA258" w:rsidR="002E3236" w:rsidRPr="001A7738" w:rsidRDefault="00CE40A9" w:rsidP="001A7738">
      <w:pPr>
        <w:pStyle w:val="ListParagraph"/>
        <w:numPr>
          <w:ilvl w:val="1"/>
          <w:numId w:val="3"/>
        </w:numPr>
        <w:tabs>
          <w:tab w:val="left" w:pos="659"/>
        </w:tabs>
        <w:spacing w:before="76"/>
        <w:ind w:right="387"/>
        <w:rPr>
          <w:rFonts w:ascii="Cambria" w:hAnsi="Cambria"/>
        </w:rPr>
      </w:pPr>
      <w:r w:rsidRPr="001A7738">
        <w:rPr>
          <w:rFonts w:ascii="Cambria" w:hAnsi="Cambria"/>
        </w:rPr>
        <w:t>NBS</w:t>
      </w:r>
      <w:r w:rsidR="00246815" w:rsidRPr="001A7738">
        <w:rPr>
          <w:rFonts w:ascii="Cambria" w:hAnsi="Cambria"/>
        </w:rPr>
        <w:t xml:space="preserve"> ukladá hospodárskemu subjektu podľa § 22 ods. 4 zákona č. 343/2015 Z.</w:t>
      </w:r>
      <w:r w:rsidR="000B3D01">
        <w:rPr>
          <w:rFonts w:ascii="Cambria" w:hAnsi="Cambria"/>
        </w:rPr>
        <w:t xml:space="preserve"> </w:t>
      </w:r>
      <w:r w:rsidR="00246815" w:rsidRPr="001A7738">
        <w:rPr>
          <w:rFonts w:ascii="Cambria" w:hAnsi="Cambria"/>
        </w:rPr>
        <w:t>z. o verejnom   obstarávaní a o zmene a doplnení  niektorých   zákonov  povinnosti</w:t>
      </w:r>
      <w:r w:rsidR="001A7738" w:rsidRPr="001A7738">
        <w:rPr>
          <w:rFonts w:ascii="Cambria" w:hAnsi="Cambria"/>
        </w:rPr>
        <w:t xml:space="preserve"> </w:t>
      </w:r>
      <w:r w:rsidR="00246815" w:rsidRPr="001A7738">
        <w:rPr>
          <w:rFonts w:ascii="Cambria" w:hAnsi="Cambria"/>
        </w:rPr>
        <w:t>zamerané na ochranu dôverných informácií, ktoré sprístupňuje počas priebehu verejného obstarávania</w:t>
      </w:r>
      <w:r w:rsidR="00246815" w:rsidRPr="001A7738">
        <w:rPr>
          <w:rFonts w:ascii="Cambria" w:hAnsi="Cambria"/>
          <w:color w:val="484848"/>
        </w:rPr>
        <w:t>.</w:t>
      </w:r>
    </w:p>
    <w:p w14:paraId="76ACC5FF" w14:textId="77777777" w:rsidR="002E3236" w:rsidRPr="00BF68EB" w:rsidRDefault="002E3236">
      <w:pPr>
        <w:pStyle w:val="BodyText"/>
        <w:spacing w:before="10"/>
        <w:rPr>
          <w:rFonts w:ascii="Cambria" w:hAnsi="Cambria"/>
        </w:rPr>
      </w:pPr>
    </w:p>
    <w:p w14:paraId="5D34AC57" w14:textId="77777777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spacing w:before="1"/>
        <w:ind w:right="114"/>
        <w:rPr>
          <w:rFonts w:ascii="Cambria" w:hAnsi="Cambria"/>
        </w:rPr>
      </w:pPr>
      <w:r w:rsidRPr="00BF68EB">
        <w:rPr>
          <w:rFonts w:ascii="Cambria" w:hAnsi="Cambria"/>
        </w:rPr>
        <w:t>Hospodársky subjekt je povinný zachovávať mlčanlivosť o Dôverných informáciách, ibaže by z Dohody alebo z ustanovení príslušných všeobecne záväzných právnych predpisov vyplývalo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inak.</w:t>
      </w:r>
    </w:p>
    <w:p w14:paraId="48C4643D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314661CF" w14:textId="77777777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ind w:right="0" w:hanging="541"/>
        <w:rPr>
          <w:rFonts w:ascii="Cambria" w:hAnsi="Cambria"/>
        </w:rPr>
      </w:pPr>
      <w:r w:rsidRPr="00BF68EB">
        <w:rPr>
          <w:rFonts w:ascii="Cambria" w:hAnsi="Cambria"/>
        </w:rPr>
        <w:t>Hospodársky subjekt sa zaväzuje,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že:</w:t>
      </w:r>
    </w:p>
    <w:p w14:paraId="74232062" w14:textId="5BCAE465" w:rsidR="002E3236" w:rsidRPr="00BF68EB" w:rsidRDefault="00246815">
      <w:pPr>
        <w:pStyle w:val="ListParagraph"/>
        <w:numPr>
          <w:ilvl w:val="2"/>
          <w:numId w:val="3"/>
        </w:numPr>
        <w:tabs>
          <w:tab w:val="left" w:pos="1111"/>
        </w:tabs>
        <w:spacing w:before="120"/>
        <w:ind w:right="0"/>
        <w:rPr>
          <w:rFonts w:ascii="Cambria" w:hAnsi="Cambria"/>
        </w:rPr>
      </w:pPr>
      <w:r w:rsidRPr="00BF68EB">
        <w:rPr>
          <w:rFonts w:ascii="Cambria" w:hAnsi="Cambria"/>
        </w:rPr>
        <w:t xml:space="preserve">Dôverné informácie získané od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neposkytne žiadnej tretej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strane;</w:t>
      </w:r>
    </w:p>
    <w:p w14:paraId="029E35CF" w14:textId="77777777" w:rsidR="002E3236" w:rsidRPr="00BF68EB" w:rsidRDefault="00246815">
      <w:pPr>
        <w:pStyle w:val="ListParagraph"/>
        <w:numPr>
          <w:ilvl w:val="2"/>
          <w:numId w:val="3"/>
        </w:numPr>
        <w:tabs>
          <w:tab w:val="left" w:pos="1112"/>
        </w:tabs>
        <w:spacing w:before="120"/>
        <w:rPr>
          <w:rFonts w:ascii="Cambria" w:hAnsi="Cambria"/>
        </w:rPr>
      </w:pPr>
      <w:r w:rsidRPr="00BF68EB">
        <w:rPr>
          <w:rFonts w:ascii="Cambria" w:hAnsi="Cambria"/>
        </w:rPr>
        <w:t>nezverejní, nepredá, nebude obchodovať a ani akýmkoľvek iným spôsobom neposkytne akejkoľvek tretej osobe akýkoľvek údaj týkajúci sa Dôverných informácií;</w:t>
      </w:r>
    </w:p>
    <w:p w14:paraId="0A82F063" w14:textId="4B1CEFB7" w:rsidR="002E3236" w:rsidRPr="00BF68EB" w:rsidRDefault="00246815">
      <w:pPr>
        <w:pStyle w:val="ListParagraph"/>
        <w:numPr>
          <w:ilvl w:val="2"/>
          <w:numId w:val="3"/>
        </w:numPr>
        <w:tabs>
          <w:tab w:val="left" w:pos="1111"/>
        </w:tabs>
        <w:spacing w:before="120"/>
        <w:rPr>
          <w:rFonts w:ascii="Cambria" w:hAnsi="Cambria"/>
        </w:rPr>
      </w:pPr>
      <w:r w:rsidRPr="00BF68EB">
        <w:rPr>
          <w:rFonts w:ascii="Cambria" w:hAnsi="Cambria"/>
        </w:rPr>
        <w:t xml:space="preserve">nebude Dôverné informácie a/alebo ich nosiče využívať na iný účel než je uvedený v článku III ods. 3.1 Dohody a/alebo spôsobom, ktorým by poškodzoval </w:t>
      </w:r>
      <w:r w:rsidR="00390999">
        <w:rPr>
          <w:rFonts w:ascii="Cambria" w:hAnsi="Cambria"/>
        </w:rPr>
        <w:t>NBS</w:t>
      </w:r>
      <w:r w:rsidRPr="00BF68EB">
        <w:rPr>
          <w:rFonts w:ascii="Cambria" w:hAnsi="Cambria"/>
        </w:rPr>
        <w:t>.</w:t>
      </w:r>
    </w:p>
    <w:p w14:paraId="5C4CC38F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07F71B43" w14:textId="785C1D5E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ind w:right="112"/>
        <w:rPr>
          <w:rFonts w:ascii="Cambria" w:hAnsi="Cambria"/>
        </w:rPr>
      </w:pPr>
      <w:r w:rsidRPr="00BF68EB">
        <w:rPr>
          <w:rFonts w:ascii="Cambria" w:hAnsi="Cambria"/>
        </w:rPr>
        <w:t xml:space="preserve">Hospodársky subjekt sa zaväzuje informovať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okamžite po zistení neoprávnenej manipulácie s Dôvernými informáciami </w:t>
      </w:r>
      <w:r w:rsidR="000B3D01">
        <w:rPr>
          <w:rFonts w:ascii="Cambria" w:hAnsi="Cambria"/>
        </w:rPr>
        <w:t xml:space="preserve">alebo </w:t>
      </w:r>
      <w:r w:rsidRPr="00BF68EB">
        <w:rPr>
          <w:rFonts w:ascii="Cambria" w:hAnsi="Cambria"/>
        </w:rPr>
        <w:t>o inom porušení práv a povinností v zmysle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Dohody.</w:t>
      </w:r>
    </w:p>
    <w:p w14:paraId="2DDD871F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2695896E" w14:textId="77777777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spacing w:before="1"/>
        <w:ind w:right="0" w:hanging="541"/>
        <w:rPr>
          <w:rFonts w:ascii="Cambria" w:hAnsi="Cambria"/>
        </w:rPr>
      </w:pPr>
      <w:r w:rsidRPr="00BF68EB">
        <w:rPr>
          <w:rFonts w:ascii="Cambria" w:hAnsi="Cambria"/>
        </w:rPr>
        <w:t>Povinnosť zachovávať mlčanlivosť o Dôverných informáciách sa nevzťahuje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na:</w:t>
      </w:r>
    </w:p>
    <w:p w14:paraId="51C5FA48" w14:textId="77777777" w:rsidR="002E3236" w:rsidRPr="00BF68EB" w:rsidRDefault="00246815">
      <w:pPr>
        <w:pStyle w:val="ListParagraph"/>
        <w:numPr>
          <w:ilvl w:val="2"/>
          <w:numId w:val="3"/>
        </w:numPr>
        <w:tabs>
          <w:tab w:val="left" w:pos="1197"/>
        </w:tabs>
        <w:spacing w:before="120"/>
        <w:ind w:left="1196" w:right="117" w:hanging="539"/>
        <w:rPr>
          <w:rFonts w:ascii="Cambria" w:hAnsi="Cambria"/>
        </w:rPr>
      </w:pPr>
      <w:r w:rsidRPr="00BF68EB">
        <w:rPr>
          <w:rFonts w:ascii="Cambria" w:hAnsi="Cambria"/>
        </w:rPr>
        <w:t>informácie,</w:t>
      </w:r>
      <w:r w:rsidRPr="00BF68EB">
        <w:rPr>
          <w:rFonts w:ascii="Cambria" w:hAnsi="Cambria"/>
          <w:spacing w:val="-14"/>
        </w:rPr>
        <w:t xml:space="preserve"> </w:t>
      </w:r>
      <w:r w:rsidRPr="00BF68EB">
        <w:rPr>
          <w:rFonts w:ascii="Cambria" w:hAnsi="Cambria"/>
        </w:rPr>
        <w:t>ktoré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sú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už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v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deň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podpisu</w:t>
      </w:r>
      <w:r w:rsidRPr="00BF68EB">
        <w:rPr>
          <w:rFonts w:ascii="Cambria" w:hAnsi="Cambria"/>
          <w:spacing w:val="-14"/>
        </w:rPr>
        <w:t xml:space="preserve"> </w:t>
      </w:r>
      <w:r w:rsidRPr="00BF68EB">
        <w:rPr>
          <w:rFonts w:ascii="Cambria" w:hAnsi="Cambria"/>
        </w:rPr>
        <w:t>Dohody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verejne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známe,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alebo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ktoré</w:t>
      </w:r>
      <w:r w:rsidRPr="00BF68EB">
        <w:rPr>
          <w:rFonts w:ascii="Cambria" w:hAnsi="Cambria"/>
          <w:spacing w:val="-14"/>
        </w:rPr>
        <w:t xml:space="preserve"> </w:t>
      </w:r>
      <w:r w:rsidRPr="00BF68EB">
        <w:rPr>
          <w:rFonts w:ascii="Cambria" w:hAnsi="Cambria"/>
        </w:rPr>
        <w:t>je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možné v deň podpisu Dohody získať z bežne dostupných informačných</w:t>
      </w:r>
      <w:r w:rsidRPr="00BF68EB">
        <w:rPr>
          <w:rFonts w:ascii="Cambria" w:hAnsi="Cambria"/>
          <w:spacing w:val="-4"/>
        </w:rPr>
        <w:t xml:space="preserve"> </w:t>
      </w:r>
      <w:r w:rsidRPr="00BF68EB">
        <w:rPr>
          <w:rFonts w:ascii="Cambria" w:hAnsi="Cambria"/>
        </w:rPr>
        <w:t>zdrojov;</w:t>
      </w:r>
    </w:p>
    <w:p w14:paraId="331F7446" w14:textId="2F82C68A" w:rsidR="002E3236" w:rsidRPr="00BF68EB" w:rsidRDefault="00246815">
      <w:pPr>
        <w:pStyle w:val="ListParagraph"/>
        <w:numPr>
          <w:ilvl w:val="2"/>
          <w:numId w:val="3"/>
        </w:numPr>
        <w:tabs>
          <w:tab w:val="left" w:pos="1197"/>
        </w:tabs>
        <w:spacing w:before="120"/>
        <w:ind w:left="1196" w:hanging="539"/>
        <w:rPr>
          <w:rFonts w:ascii="Cambria" w:hAnsi="Cambria"/>
        </w:rPr>
      </w:pPr>
      <w:r w:rsidRPr="00BF68EB">
        <w:rPr>
          <w:rFonts w:ascii="Cambria" w:hAnsi="Cambria"/>
        </w:rPr>
        <w:t xml:space="preserve">informácie, ktoré sa stanú po podpise Dohody verejne známymi, alebo ktoré bude možné po tomto dni získať z bežne dostupných informačných zdrojov inak než </w:t>
      </w:r>
      <w:r w:rsidRPr="00BF68EB">
        <w:rPr>
          <w:rFonts w:ascii="Cambria" w:hAnsi="Cambria"/>
        </w:rPr>
        <w:lastRenderedPageBreak/>
        <w:t>porušením povinnosti hospodársk</w:t>
      </w:r>
      <w:r w:rsidR="005755B7">
        <w:rPr>
          <w:rFonts w:ascii="Cambria" w:hAnsi="Cambria"/>
        </w:rPr>
        <w:t>eho</w:t>
      </w:r>
      <w:r w:rsidRPr="00BF68EB">
        <w:rPr>
          <w:rFonts w:ascii="Cambria" w:hAnsi="Cambria"/>
        </w:rPr>
        <w:t xml:space="preserve"> subjekt</w:t>
      </w:r>
      <w:r w:rsidR="005755B7">
        <w:rPr>
          <w:rFonts w:ascii="Cambria" w:hAnsi="Cambria"/>
        </w:rPr>
        <w:t>u</w:t>
      </w:r>
      <w:r w:rsidRPr="00BF68EB">
        <w:rPr>
          <w:rFonts w:ascii="Cambria" w:hAnsi="Cambria"/>
        </w:rPr>
        <w:t xml:space="preserve"> zachovávať mlčanlivosť na základe Dohody;</w:t>
      </w:r>
    </w:p>
    <w:p w14:paraId="58BC6C48" w14:textId="2F835FB1" w:rsidR="002E3236" w:rsidRPr="00BF68EB" w:rsidRDefault="00246815">
      <w:pPr>
        <w:pStyle w:val="ListParagraph"/>
        <w:numPr>
          <w:ilvl w:val="2"/>
          <w:numId w:val="3"/>
        </w:numPr>
        <w:tabs>
          <w:tab w:val="left" w:pos="1197"/>
        </w:tabs>
        <w:spacing w:before="120"/>
        <w:ind w:left="1196" w:right="114" w:hanging="539"/>
        <w:rPr>
          <w:rFonts w:ascii="Cambria" w:hAnsi="Cambria"/>
        </w:rPr>
      </w:pPr>
      <w:r w:rsidRPr="00BF68EB">
        <w:rPr>
          <w:rFonts w:ascii="Cambria" w:hAnsi="Cambria"/>
        </w:rPr>
        <w:t xml:space="preserve">informácie, ktoré nie sú verejne známe a ktoré hospodársky subjekt získal alebo získa v súlade so všeobecne záväzným právnym predpisom od tretej osoby, ak súčasne tretia osoba poskytnutím týchto informácií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neporušila všeobecne záväzný právny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predpis;</w:t>
      </w:r>
    </w:p>
    <w:p w14:paraId="4F92F19A" w14:textId="11A8D302" w:rsidR="002E3236" w:rsidRPr="00BF68EB" w:rsidRDefault="00246815">
      <w:pPr>
        <w:pStyle w:val="ListParagraph"/>
        <w:numPr>
          <w:ilvl w:val="2"/>
          <w:numId w:val="3"/>
        </w:numPr>
        <w:tabs>
          <w:tab w:val="left" w:pos="1197"/>
        </w:tabs>
        <w:spacing w:before="120"/>
        <w:ind w:left="1195" w:hanging="539"/>
        <w:rPr>
          <w:rFonts w:ascii="Cambria" w:hAnsi="Cambria"/>
        </w:rPr>
      </w:pPr>
      <w:r w:rsidRPr="00BF68EB">
        <w:rPr>
          <w:rFonts w:ascii="Cambria" w:hAnsi="Cambria"/>
        </w:rPr>
        <w:t>prípady, keď na základe zákona vznikne hospodárskemu subjektu povinnosť poskytnúť Dôverné informácie</w:t>
      </w:r>
      <w:r w:rsidR="000B3D01">
        <w:rPr>
          <w:rFonts w:ascii="Cambria" w:hAnsi="Cambria"/>
        </w:rPr>
        <w:t>;</w:t>
      </w:r>
      <w:r w:rsidRPr="00BF68EB">
        <w:rPr>
          <w:rFonts w:ascii="Cambria" w:hAnsi="Cambria"/>
        </w:rPr>
        <w:t xml:space="preserve"> hospodársky subjekt je povinný informovať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o vzniku povinnosti poskytnúť Dôverné informácie na základe zákona a o spôsobe a rozsahu, akým, resp. v akom ju</w:t>
      </w:r>
      <w:r w:rsidRPr="00BF68EB">
        <w:rPr>
          <w:rFonts w:ascii="Cambria" w:hAnsi="Cambria"/>
          <w:spacing w:val="-5"/>
        </w:rPr>
        <w:t xml:space="preserve"> </w:t>
      </w:r>
      <w:r w:rsidRPr="00BF68EB">
        <w:rPr>
          <w:rFonts w:ascii="Cambria" w:hAnsi="Cambria"/>
        </w:rPr>
        <w:t>plnil.</w:t>
      </w:r>
    </w:p>
    <w:p w14:paraId="534B8CEB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1469E366" w14:textId="2312AAA0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spacing w:before="1"/>
        <w:rPr>
          <w:rFonts w:ascii="Cambria" w:hAnsi="Cambria"/>
        </w:rPr>
      </w:pPr>
      <w:r w:rsidRPr="00BF68EB">
        <w:rPr>
          <w:rFonts w:ascii="Cambria" w:hAnsi="Cambria"/>
        </w:rPr>
        <w:t xml:space="preserve">Hospodársky subjekt zodpovedá za to, že nedôjde k zneužitiu, strate, úniku alebo odcudzeniu informácií a dokumentov získaných a spracovaných počas plnenia predmetu zmluvy. Pre zabezpečenie tejto povinnosti hospodársky subjekt príjme primerané organizačné, personálne a technické opatrenia. </w:t>
      </w:r>
      <w:bookmarkStart w:id="0" w:name="_Hlk104960960"/>
      <w:r w:rsidR="00D63CA1">
        <w:rPr>
          <w:rFonts w:ascii="Cambria" w:hAnsi="Cambria"/>
        </w:rPr>
        <w:t xml:space="preserve">Hospodársky subjekt sa zaväzuje </w:t>
      </w:r>
      <w:r w:rsidR="00D63CA1" w:rsidRPr="00D63CA1">
        <w:rPr>
          <w:rFonts w:ascii="Cambria" w:hAnsi="Cambria"/>
        </w:rPr>
        <w:t>z</w:t>
      </w:r>
      <w:r w:rsidR="00580376">
        <w:rPr>
          <w:rFonts w:ascii="Cambria" w:hAnsi="Cambria"/>
        </w:rPr>
        <w:t>a</w:t>
      </w:r>
      <w:r w:rsidR="00D63CA1" w:rsidRPr="00D63CA1">
        <w:rPr>
          <w:rFonts w:ascii="Cambria" w:hAnsi="Cambria"/>
        </w:rPr>
        <w:t>viazať povinnosťou mlčanlivosti svojich zamestnancov a iné spolupracujúce osoby.</w:t>
      </w:r>
      <w:r w:rsidR="00D63CA1">
        <w:rPr>
          <w:rFonts w:ascii="Cambria" w:hAnsi="Cambria"/>
        </w:rPr>
        <w:t xml:space="preserve"> </w:t>
      </w:r>
      <w:bookmarkEnd w:id="0"/>
      <w:r w:rsidRPr="00BF68EB">
        <w:rPr>
          <w:rFonts w:ascii="Cambria" w:hAnsi="Cambria"/>
        </w:rPr>
        <w:t>V prípade, že hospodársky subjekt zistí porušenie týchto zodpovedností, je povinný o tom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bezodkladne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písomne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informovať</w:t>
      </w:r>
      <w:r w:rsidRPr="00BF68EB">
        <w:rPr>
          <w:rFonts w:ascii="Cambria" w:hAnsi="Cambria"/>
          <w:spacing w:val="-11"/>
        </w:rPr>
        <w:t xml:space="preserve">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>.</w:t>
      </w:r>
    </w:p>
    <w:p w14:paraId="59060317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56B17C72" w14:textId="4728C281" w:rsidR="002E3236" w:rsidRDefault="00246815">
      <w:pPr>
        <w:pStyle w:val="ListParagraph"/>
        <w:numPr>
          <w:ilvl w:val="1"/>
          <w:numId w:val="3"/>
        </w:numPr>
        <w:tabs>
          <w:tab w:val="left" w:pos="659"/>
        </w:tabs>
        <w:ind w:right="116"/>
        <w:rPr>
          <w:rFonts w:ascii="Cambria" w:hAnsi="Cambria"/>
        </w:rPr>
      </w:pPr>
      <w:r w:rsidRPr="00BF68EB">
        <w:rPr>
          <w:rFonts w:ascii="Cambria" w:hAnsi="Cambria"/>
        </w:rPr>
        <w:t xml:space="preserve">Predchádzajúcimi ustanoveniami nie je obmedzené právo na ochranu obchodného tajomstva v zmysle </w:t>
      </w:r>
      <w:proofErr w:type="spellStart"/>
      <w:r w:rsidRPr="00BF68EB">
        <w:rPr>
          <w:rFonts w:ascii="Cambria" w:hAnsi="Cambria"/>
        </w:rPr>
        <w:t>ust</w:t>
      </w:r>
      <w:proofErr w:type="spellEnd"/>
      <w:r w:rsidRPr="00BF68EB">
        <w:rPr>
          <w:rFonts w:ascii="Cambria" w:hAnsi="Cambria"/>
        </w:rPr>
        <w:t xml:space="preserve">. § 17 a </w:t>
      </w:r>
      <w:proofErr w:type="spellStart"/>
      <w:r w:rsidRPr="00BF68EB">
        <w:rPr>
          <w:rFonts w:ascii="Cambria" w:hAnsi="Cambria"/>
        </w:rPr>
        <w:t>nasl</w:t>
      </w:r>
      <w:proofErr w:type="spellEnd"/>
      <w:r w:rsidRPr="00BF68EB">
        <w:rPr>
          <w:rFonts w:ascii="Cambria" w:hAnsi="Cambria"/>
        </w:rPr>
        <w:t>. Obchodného</w:t>
      </w:r>
      <w:r w:rsidRPr="00BF68EB">
        <w:rPr>
          <w:rFonts w:ascii="Cambria" w:hAnsi="Cambria"/>
          <w:spacing w:val="-4"/>
        </w:rPr>
        <w:t xml:space="preserve"> </w:t>
      </w:r>
      <w:r w:rsidRPr="00BF68EB">
        <w:rPr>
          <w:rFonts w:ascii="Cambria" w:hAnsi="Cambria"/>
        </w:rPr>
        <w:t>zákonníka.</w:t>
      </w:r>
    </w:p>
    <w:p w14:paraId="7225E4B4" w14:textId="77777777" w:rsidR="001A7738" w:rsidRPr="001A7738" w:rsidRDefault="001A7738" w:rsidP="001A7738">
      <w:pPr>
        <w:pStyle w:val="ListParagraph"/>
        <w:rPr>
          <w:rFonts w:ascii="Cambria" w:hAnsi="Cambria"/>
        </w:rPr>
      </w:pPr>
    </w:p>
    <w:p w14:paraId="01BAB106" w14:textId="77777777" w:rsidR="001A7738" w:rsidRPr="00BF68EB" w:rsidRDefault="001A7738" w:rsidP="001A7738">
      <w:pPr>
        <w:pStyle w:val="ListParagraph"/>
        <w:tabs>
          <w:tab w:val="left" w:pos="659"/>
        </w:tabs>
        <w:ind w:right="116" w:firstLine="0"/>
        <w:rPr>
          <w:rFonts w:ascii="Cambria" w:hAnsi="Cambria"/>
        </w:rPr>
      </w:pPr>
    </w:p>
    <w:p w14:paraId="0456BE4A" w14:textId="77777777" w:rsidR="002E3236" w:rsidRPr="00BF68EB" w:rsidRDefault="00246815">
      <w:pPr>
        <w:pStyle w:val="Heading1"/>
        <w:numPr>
          <w:ilvl w:val="0"/>
          <w:numId w:val="6"/>
        </w:numPr>
        <w:tabs>
          <w:tab w:val="left" w:pos="4696"/>
          <w:tab w:val="left" w:pos="4697"/>
        </w:tabs>
        <w:spacing w:before="77"/>
        <w:ind w:left="4696" w:hanging="721"/>
        <w:jc w:val="left"/>
        <w:rPr>
          <w:rFonts w:ascii="Cambria" w:hAnsi="Cambria"/>
        </w:rPr>
      </w:pPr>
      <w:r w:rsidRPr="00BF68EB">
        <w:rPr>
          <w:rFonts w:ascii="Cambria" w:hAnsi="Cambria"/>
        </w:rPr>
        <w:t>SANKCIE</w:t>
      </w:r>
    </w:p>
    <w:p w14:paraId="0ECED010" w14:textId="77777777" w:rsidR="002E3236" w:rsidRPr="00BF68EB" w:rsidRDefault="002E3236">
      <w:pPr>
        <w:pStyle w:val="BodyText"/>
        <w:spacing w:before="9"/>
        <w:rPr>
          <w:rFonts w:ascii="Cambria" w:hAnsi="Cambria"/>
          <w:b/>
        </w:rPr>
      </w:pPr>
    </w:p>
    <w:p w14:paraId="2F10AB9D" w14:textId="77777777" w:rsidR="002E3236" w:rsidRPr="00BF68EB" w:rsidRDefault="00246815">
      <w:pPr>
        <w:pStyle w:val="ListParagraph"/>
        <w:numPr>
          <w:ilvl w:val="1"/>
          <w:numId w:val="2"/>
        </w:numPr>
        <w:tabs>
          <w:tab w:val="left" w:pos="658"/>
        </w:tabs>
        <w:spacing w:before="1"/>
        <w:ind w:right="0" w:hanging="540"/>
        <w:rPr>
          <w:rFonts w:ascii="Cambria" w:hAnsi="Cambria"/>
        </w:rPr>
      </w:pPr>
      <w:r w:rsidRPr="00BF68EB">
        <w:rPr>
          <w:rFonts w:ascii="Cambria" w:hAnsi="Cambria"/>
        </w:rPr>
        <w:t>Zmluvné strany sa dohodli, že v prípade porušenia povinnosti mlčanlivosti podľa</w:t>
      </w:r>
      <w:r w:rsidRPr="00BF68EB">
        <w:rPr>
          <w:rFonts w:ascii="Cambria" w:hAnsi="Cambria"/>
          <w:spacing w:val="20"/>
        </w:rPr>
        <w:t xml:space="preserve"> </w:t>
      </w:r>
      <w:r w:rsidRPr="00BF68EB">
        <w:rPr>
          <w:rFonts w:ascii="Cambria" w:hAnsi="Cambria"/>
        </w:rPr>
        <w:t>článku</w:t>
      </w:r>
    </w:p>
    <w:p w14:paraId="2D94698C" w14:textId="4790FA18" w:rsidR="002E3236" w:rsidRPr="00BF68EB" w:rsidRDefault="00246815">
      <w:pPr>
        <w:pStyle w:val="BodyText"/>
        <w:ind w:left="657" w:right="114"/>
        <w:jc w:val="both"/>
        <w:rPr>
          <w:rFonts w:ascii="Cambria" w:hAnsi="Cambria"/>
        </w:rPr>
      </w:pPr>
      <w:r w:rsidRPr="00BF68EB">
        <w:rPr>
          <w:rFonts w:ascii="Cambria" w:hAnsi="Cambria"/>
        </w:rPr>
        <w:t xml:space="preserve">IV. Dohody zo strany </w:t>
      </w:r>
      <w:r w:rsidRPr="00CE0F29">
        <w:rPr>
          <w:rFonts w:ascii="Cambria" w:hAnsi="Cambria"/>
        </w:rPr>
        <w:t xml:space="preserve">hospodárskeho subjektu je hospodársky subjekt povinný uhradiť </w:t>
      </w:r>
      <w:r w:rsidR="00CE40A9" w:rsidRPr="00CE0F29">
        <w:rPr>
          <w:rFonts w:ascii="Cambria" w:hAnsi="Cambria"/>
        </w:rPr>
        <w:t>NBS</w:t>
      </w:r>
      <w:r w:rsidRPr="00CE0F29">
        <w:rPr>
          <w:rFonts w:ascii="Cambria" w:hAnsi="Cambria"/>
          <w:spacing w:val="-17"/>
        </w:rPr>
        <w:t xml:space="preserve"> </w:t>
      </w:r>
      <w:r w:rsidRPr="00CE0F29">
        <w:rPr>
          <w:rFonts w:ascii="Cambria" w:hAnsi="Cambria"/>
        </w:rPr>
        <w:t>zmluvnú</w:t>
      </w:r>
      <w:r w:rsidRPr="00CE0F29">
        <w:rPr>
          <w:rFonts w:ascii="Cambria" w:hAnsi="Cambria"/>
          <w:spacing w:val="-17"/>
        </w:rPr>
        <w:t xml:space="preserve"> </w:t>
      </w:r>
      <w:r w:rsidRPr="00CE0F29">
        <w:rPr>
          <w:rFonts w:ascii="Cambria" w:hAnsi="Cambria"/>
        </w:rPr>
        <w:t>pokutu</w:t>
      </w:r>
      <w:r w:rsidRPr="00CE0F29">
        <w:rPr>
          <w:rFonts w:ascii="Cambria" w:hAnsi="Cambria"/>
          <w:spacing w:val="-16"/>
        </w:rPr>
        <w:t xml:space="preserve"> </w:t>
      </w:r>
      <w:r w:rsidRPr="00CE0F29">
        <w:rPr>
          <w:rFonts w:ascii="Cambria" w:hAnsi="Cambria"/>
        </w:rPr>
        <w:t>vo</w:t>
      </w:r>
      <w:r w:rsidRPr="00CE0F29">
        <w:rPr>
          <w:rFonts w:ascii="Cambria" w:hAnsi="Cambria"/>
          <w:spacing w:val="-17"/>
        </w:rPr>
        <w:t xml:space="preserve"> </w:t>
      </w:r>
      <w:r w:rsidRPr="00CE0F29">
        <w:rPr>
          <w:rFonts w:ascii="Cambria" w:hAnsi="Cambria"/>
        </w:rPr>
        <w:t>výške</w:t>
      </w:r>
      <w:r w:rsidRPr="008B0285">
        <w:rPr>
          <w:rFonts w:ascii="Cambria" w:hAnsi="Cambria"/>
        </w:rPr>
        <w:t xml:space="preserve"> </w:t>
      </w:r>
      <w:r w:rsidR="00F82705" w:rsidRPr="008B0285">
        <w:rPr>
          <w:rFonts w:ascii="Cambria" w:hAnsi="Cambria"/>
        </w:rPr>
        <w:t>2</w:t>
      </w:r>
      <w:r w:rsidRPr="008B0285">
        <w:rPr>
          <w:rFonts w:ascii="Cambria" w:hAnsi="Cambria"/>
        </w:rPr>
        <w:t xml:space="preserve">0.000,- </w:t>
      </w:r>
      <w:r w:rsidR="00CE0F29">
        <w:rPr>
          <w:rFonts w:ascii="Cambria" w:hAnsi="Cambria"/>
        </w:rPr>
        <w:t>eur</w:t>
      </w:r>
      <w:r w:rsidRPr="008B0285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za</w:t>
      </w:r>
      <w:r w:rsidRPr="008B0285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každé jednotlivé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porušenie.</w:t>
      </w:r>
    </w:p>
    <w:p w14:paraId="31A1EC96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2BFE1055" w14:textId="77777777" w:rsidR="002E3236" w:rsidRPr="00BF68EB" w:rsidRDefault="00246815">
      <w:pPr>
        <w:pStyle w:val="ListParagraph"/>
        <w:numPr>
          <w:ilvl w:val="1"/>
          <w:numId w:val="2"/>
        </w:numPr>
        <w:tabs>
          <w:tab w:val="left" w:pos="659"/>
        </w:tabs>
        <w:ind w:left="658" w:right="115" w:hanging="540"/>
        <w:rPr>
          <w:rFonts w:ascii="Cambria" w:hAnsi="Cambria"/>
        </w:rPr>
      </w:pPr>
      <w:r w:rsidRPr="00BF68EB">
        <w:rPr>
          <w:rFonts w:ascii="Cambria" w:hAnsi="Cambria"/>
        </w:rPr>
        <w:t>Zmluvná pokuta podľa ods. 5.1 tohto článku Dohody je splatná na základe vystavenej faktúry s lehotou splatnosti 15 dní odo dňa jej vystavenia. Uhradením zmluvnej pokuty zostáva povinnosť nahradiť vzniknutú škodu v plnej výške</w:t>
      </w:r>
      <w:r w:rsidRPr="00BF68EB">
        <w:rPr>
          <w:rFonts w:ascii="Cambria" w:hAnsi="Cambria"/>
          <w:spacing w:val="-4"/>
        </w:rPr>
        <w:t xml:space="preserve"> </w:t>
      </w:r>
      <w:r w:rsidRPr="00BF68EB">
        <w:rPr>
          <w:rFonts w:ascii="Cambria" w:hAnsi="Cambria"/>
        </w:rPr>
        <w:t>nedotknutá.</w:t>
      </w:r>
    </w:p>
    <w:p w14:paraId="4CC55E8D" w14:textId="77777777" w:rsidR="002E3236" w:rsidRPr="00BF68EB" w:rsidRDefault="002E3236">
      <w:pPr>
        <w:pStyle w:val="BodyText"/>
        <w:spacing w:before="4"/>
        <w:rPr>
          <w:rFonts w:ascii="Cambria" w:hAnsi="Cambria"/>
        </w:rPr>
      </w:pPr>
    </w:p>
    <w:p w14:paraId="4AC9209D" w14:textId="4B77B66D" w:rsidR="002E3236" w:rsidRPr="00BF68EB" w:rsidRDefault="00246815">
      <w:pPr>
        <w:pStyle w:val="ListParagraph"/>
        <w:numPr>
          <w:ilvl w:val="1"/>
          <w:numId w:val="2"/>
        </w:numPr>
        <w:tabs>
          <w:tab w:val="left" w:pos="659"/>
        </w:tabs>
        <w:ind w:left="658" w:right="114" w:hanging="540"/>
        <w:rPr>
          <w:rFonts w:ascii="Cambria" w:hAnsi="Cambria"/>
        </w:rPr>
      </w:pPr>
      <w:r w:rsidRPr="00BF68EB">
        <w:rPr>
          <w:rFonts w:ascii="Cambria" w:hAnsi="Cambria"/>
        </w:rPr>
        <w:t xml:space="preserve">Zmluvné strany vyhlasujú, že zmluvná pokuta dohodnutá v odsekoch 5.1 tohto článku Dohody je dohodnutá v súlade s dobrými mravmi a zásadami poctivého obchodného styku, s ohľadom na obchodné zvyklosti zachovávané v danej podnikateľskej oblasti a je primeraná vzhľadom na podnikateľské riziko, ktoré znáša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v prípade, ak by hospodársky subjekt porušil ustanovené</w:t>
      </w:r>
      <w:r w:rsidRPr="00BF68EB">
        <w:rPr>
          <w:rFonts w:ascii="Cambria" w:hAnsi="Cambria"/>
          <w:spacing w:val="-8"/>
        </w:rPr>
        <w:t xml:space="preserve"> </w:t>
      </w:r>
      <w:r w:rsidRPr="00BF68EB">
        <w:rPr>
          <w:rFonts w:ascii="Cambria" w:hAnsi="Cambria"/>
        </w:rPr>
        <w:t>povinnosti.</w:t>
      </w:r>
    </w:p>
    <w:p w14:paraId="20F4F543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7071D717" w14:textId="77777777" w:rsidR="002E3236" w:rsidRPr="00BF68EB" w:rsidRDefault="00246815">
      <w:pPr>
        <w:pStyle w:val="Heading1"/>
        <w:tabs>
          <w:tab w:val="left" w:pos="3682"/>
        </w:tabs>
        <w:spacing w:before="215"/>
        <w:ind w:left="2962" w:firstLine="0"/>
        <w:rPr>
          <w:rFonts w:ascii="Cambria" w:hAnsi="Cambria"/>
        </w:rPr>
      </w:pPr>
      <w:r w:rsidRPr="00BF68EB">
        <w:rPr>
          <w:rFonts w:ascii="Cambria" w:hAnsi="Cambria"/>
        </w:rPr>
        <w:t>VI.</w:t>
      </w:r>
      <w:r w:rsidRPr="00BF68EB">
        <w:rPr>
          <w:rFonts w:ascii="Cambria" w:hAnsi="Cambria"/>
        </w:rPr>
        <w:tab/>
        <w:t>ZÁVEREČNÉ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USTANOVENIA</w:t>
      </w:r>
    </w:p>
    <w:p w14:paraId="5A557FB2" w14:textId="77777777" w:rsidR="002E3236" w:rsidRPr="00BF68EB" w:rsidRDefault="002E3236">
      <w:pPr>
        <w:pStyle w:val="BodyText"/>
        <w:spacing w:before="2"/>
        <w:rPr>
          <w:rFonts w:ascii="Cambria" w:hAnsi="Cambria"/>
          <w:b/>
        </w:rPr>
      </w:pPr>
    </w:p>
    <w:p w14:paraId="1D10B0B3" w14:textId="4C8A42C5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ind w:right="114"/>
        <w:rPr>
          <w:rFonts w:ascii="Cambria" w:hAnsi="Cambria"/>
        </w:rPr>
      </w:pPr>
      <w:r w:rsidRPr="00BF68EB">
        <w:rPr>
          <w:rFonts w:ascii="Cambria" w:hAnsi="Cambria"/>
        </w:rPr>
        <w:t xml:space="preserve">Dohoda nadobúda platnosť  a účinnosť  dňom  podpisu  oboma  zmluvnými  stranami  a uzatvára sa na dobu </w:t>
      </w:r>
      <w:r w:rsidR="00DA0917">
        <w:rPr>
          <w:rFonts w:ascii="Cambria" w:hAnsi="Cambria"/>
        </w:rPr>
        <w:t>ne</w:t>
      </w:r>
      <w:r w:rsidRPr="00BF68EB">
        <w:rPr>
          <w:rFonts w:ascii="Cambria" w:hAnsi="Cambria"/>
        </w:rPr>
        <w:t>určitú.</w:t>
      </w:r>
    </w:p>
    <w:p w14:paraId="24577F1F" w14:textId="77777777" w:rsidR="002E3236" w:rsidRPr="00BF68EB" w:rsidRDefault="002E3236">
      <w:pPr>
        <w:pStyle w:val="BodyText"/>
        <w:spacing w:before="1"/>
        <w:rPr>
          <w:rFonts w:ascii="Cambria" w:hAnsi="Cambria"/>
        </w:rPr>
      </w:pPr>
    </w:p>
    <w:p w14:paraId="4BB495AA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rPr>
          <w:rFonts w:ascii="Cambria" w:hAnsi="Cambria"/>
        </w:rPr>
      </w:pPr>
      <w:r w:rsidRPr="00BF68EB">
        <w:rPr>
          <w:rFonts w:ascii="Cambria" w:hAnsi="Cambria"/>
        </w:rPr>
        <w:t>Zmluvné strany sa dohodli, že vylučujú použitie všetkých ustanovení Obchodného zákonníka o odstúpení od zmluvy na právny vzťah založený Dohodou, a to ako ustanovení o odstúpení od zmluvy v časti všeobecných ustanovení o záväzkových vzťahoch, tak i ustanovení o odstúpení od zmluvy pri jednotlivých zmluvných typoch, ktoré sa svojou povahou najväčšmi približujú právnemu vzťahu založenému Dohodou, v dôsledku čoho žiadna zo Zmluvných strán nie je oprávnená od Dohody jednostranne odstúpiť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z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akéhokoľvek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dôvodu.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Dohodu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je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možné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ukončiť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pred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uplynutím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doby,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na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ktorú bola uzatvorená iba vzájomnou dohodou Zmluvných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strán.</w:t>
      </w:r>
    </w:p>
    <w:p w14:paraId="69DE6695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14125B71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ind w:right="115"/>
        <w:rPr>
          <w:rFonts w:ascii="Cambria" w:hAnsi="Cambria"/>
        </w:rPr>
      </w:pPr>
      <w:r w:rsidRPr="00BF68EB">
        <w:rPr>
          <w:rFonts w:ascii="Cambria" w:hAnsi="Cambria"/>
        </w:rPr>
        <w:t>Dohodu možno meniť alebo dopĺňať len vo forme písomných dodatkov podpísaných oboma Zmluvnými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stranami.</w:t>
      </w:r>
    </w:p>
    <w:p w14:paraId="6FFDBC9A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74396324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rPr>
          <w:rFonts w:ascii="Cambria" w:hAnsi="Cambria"/>
        </w:rPr>
      </w:pPr>
      <w:r w:rsidRPr="00BF68EB">
        <w:rPr>
          <w:rFonts w:ascii="Cambria" w:hAnsi="Cambria"/>
        </w:rPr>
        <w:t>Na výslovne neupravené právne vzťahy vyplývajúce z Dohody sa aplikujú ustanovenia Obchodného zákonníka a ostatných súvisiacich všeobecne záväzných právnych predpisov platných na území Slovenskej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republiky.</w:t>
      </w:r>
    </w:p>
    <w:p w14:paraId="589D5E61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283A8449" w14:textId="47077440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spacing w:before="1"/>
        <w:rPr>
          <w:rFonts w:ascii="Cambria" w:hAnsi="Cambria"/>
        </w:rPr>
      </w:pPr>
      <w:r w:rsidRPr="00BF68EB">
        <w:rPr>
          <w:rFonts w:ascii="Cambria" w:hAnsi="Cambria"/>
        </w:rPr>
        <w:t>V prípade vzniku akéhokoľvek sporu alebo rozdielneho názoru medzi Zmluvnými stranami v súvislosti s Dohodou, vrátane akéhokoľvek problému týkajúceho sa jej platnosti, resp. ukončenia, sa budú Zmluvné strany snažiť vyriešiť predovšetkým vzájomnými rokovaniami.</w:t>
      </w:r>
    </w:p>
    <w:p w14:paraId="67F19E36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3B4F7893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ind w:right="112"/>
        <w:rPr>
          <w:rFonts w:ascii="Cambria" w:hAnsi="Cambria"/>
        </w:rPr>
      </w:pPr>
      <w:r w:rsidRPr="00BF68EB">
        <w:rPr>
          <w:rFonts w:ascii="Cambria" w:hAnsi="Cambria"/>
        </w:rPr>
        <w:t>V prípade, že akékoľvek ustanovenie Dohody je alebo sa stane neplatným, neúčinným alebo nevykonateľným, nie je tým dotknutá platnosť, účinnosť alebo vykonateľnosť ostatných ustanovení Dohody, pokiaľ to nevylučuje v zmysle všeobecne záväzných právnych</w:t>
      </w:r>
      <w:r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predpisov</w:t>
      </w:r>
      <w:r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samotná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povaha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takéhoto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ustanovenia.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Zmluvné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strany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sa</w:t>
      </w:r>
      <w:r w:rsidRPr="00BF68EB">
        <w:rPr>
          <w:rFonts w:ascii="Cambria" w:hAnsi="Cambria"/>
          <w:spacing w:val="-8"/>
        </w:rPr>
        <w:t xml:space="preserve"> </w:t>
      </w:r>
      <w:r w:rsidRPr="00BF68EB">
        <w:rPr>
          <w:rFonts w:ascii="Cambria" w:hAnsi="Cambria"/>
        </w:rPr>
        <w:t>zaväzujú bez zbytočného odkladu, nahradiť ho ustanovením novým, ktorého obsah bude v čo najväčšej miere zodpovedať vôli Zmluvných strán v čase uzatvorenia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Dohody.</w:t>
      </w:r>
    </w:p>
    <w:p w14:paraId="74017FD9" w14:textId="29DCDCCD" w:rsidR="00CE0F29" w:rsidRPr="00BF68EB" w:rsidRDefault="00CE0F29" w:rsidP="00CE0F29">
      <w:pPr>
        <w:pStyle w:val="ListParagraph"/>
        <w:numPr>
          <w:ilvl w:val="1"/>
          <w:numId w:val="1"/>
        </w:numPr>
        <w:tabs>
          <w:tab w:val="left" w:pos="659"/>
        </w:tabs>
        <w:spacing w:before="106"/>
        <w:ind w:right="115"/>
        <w:rPr>
          <w:rFonts w:ascii="Cambria" w:hAnsi="Cambria"/>
        </w:rPr>
      </w:pPr>
      <w:r w:rsidRPr="00BF68EB">
        <w:rPr>
          <w:rFonts w:ascii="Cambria" w:hAnsi="Cambria"/>
        </w:rPr>
        <w:t>Dohoda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je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uzatvorená</w:t>
      </w:r>
      <w:r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v</w:t>
      </w:r>
      <w:r w:rsidRPr="00BF68EB">
        <w:rPr>
          <w:rFonts w:ascii="Cambria" w:hAnsi="Cambria"/>
          <w:spacing w:val="-2"/>
        </w:rPr>
        <w:t xml:space="preserve"> </w:t>
      </w:r>
      <w:r w:rsidR="004073C3">
        <w:rPr>
          <w:rFonts w:ascii="Cambria" w:hAnsi="Cambria"/>
          <w:spacing w:val="-2"/>
        </w:rPr>
        <w:t>šty</w:t>
      </w:r>
      <w:r w:rsidR="00DA0917">
        <w:rPr>
          <w:rFonts w:ascii="Cambria" w:hAnsi="Cambria"/>
        </w:rPr>
        <w:t>r</w:t>
      </w:r>
      <w:r w:rsidR="00DA0917" w:rsidRPr="00BF68EB">
        <w:rPr>
          <w:rFonts w:ascii="Cambria" w:hAnsi="Cambria"/>
        </w:rPr>
        <w:t>och</w:t>
      </w:r>
      <w:r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(</w:t>
      </w:r>
      <w:r w:rsidR="00150B38">
        <w:rPr>
          <w:rFonts w:ascii="Cambria" w:hAnsi="Cambria"/>
        </w:rPr>
        <w:t>4</w:t>
      </w:r>
      <w:r w:rsidRPr="00BF68EB">
        <w:rPr>
          <w:rFonts w:ascii="Cambria" w:hAnsi="Cambria"/>
        </w:rPr>
        <w:t>)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rovnopisoch,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pre</w:t>
      </w:r>
      <w:r w:rsidRPr="00BF68EB">
        <w:rPr>
          <w:rFonts w:ascii="Cambria" w:hAnsi="Cambria"/>
          <w:spacing w:val="-10"/>
        </w:rPr>
        <w:t xml:space="preserve"> </w:t>
      </w:r>
      <w:r w:rsidR="0092162D">
        <w:rPr>
          <w:rFonts w:ascii="Cambria" w:hAnsi="Cambria"/>
          <w:spacing w:val="-10"/>
        </w:rPr>
        <w:t>h</w:t>
      </w:r>
      <w:r>
        <w:rPr>
          <w:rFonts w:ascii="Cambria" w:hAnsi="Cambria"/>
          <w:spacing w:val="-10"/>
        </w:rPr>
        <w:t xml:space="preserve">ospodársky subjekt jedno vyhotovenie a pre NBS </w:t>
      </w:r>
      <w:r w:rsidR="00150B38">
        <w:rPr>
          <w:rFonts w:ascii="Cambria" w:hAnsi="Cambria"/>
          <w:spacing w:val="-10"/>
        </w:rPr>
        <w:t xml:space="preserve">tri </w:t>
      </w:r>
      <w:r>
        <w:rPr>
          <w:rFonts w:ascii="Cambria" w:hAnsi="Cambria"/>
          <w:spacing w:val="-10"/>
        </w:rPr>
        <w:t xml:space="preserve">vyhotovenia. </w:t>
      </w:r>
    </w:p>
    <w:p w14:paraId="3E3ED295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0B218130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rPr>
          <w:rFonts w:ascii="Cambria" w:hAnsi="Cambria"/>
        </w:rPr>
      </w:pPr>
      <w:r w:rsidRPr="00BF68EB">
        <w:rPr>
          <w:rFonts w:ascii="Cambria" w:hAnsi="Cambria"/>
        </w:rPr>
        <w:t>Zmluvné strany vyhlasujú, že Dohoda nebola uzavretá v tiesni ani za nápadne nevýhodných podmienok a predstavuje prejav ich vôle, ktorý je urobený slobodne, vážne, určite a zrozumiteľne, a ktorý nie je urobený v omyle a svojím obsahom alebo účelom neodporuje alebo neobchádza zákon. Ďalej Zmluvné strany vyhlasujú, že ich zmluvná voľnosť nie je žiadnym spôsobom obmedzená, sú spôsobilé na uzatvorenie Dohody a jej plnenie je možné, sú oboznámené s jej obsahom a bez výhrad s ním súhlasia, na znak čoho k Dohode pripájajú svoje vlastnoručné</w:t>
      </w:r>
      <w:r w:rsidRPr="00BF68EB">
        <w:rPr>
          <w:rFonts w:ascii="Cambria" w:hAnsi="Cambria"/>
          <w:spacing w:val="-8"/>
        </w:rPr>
        <w:t xml:space="preserve"> </w:t>
      </w:r>
      <w:r w:rsidRPr="00BF68EB">
        <w:rPr>
          <w:rFonts w:ascii="Cambria" w:hAnsi="Cambria"/>
        </w:rPr>
        <w:t>podpisy.</w:t>
      </w:r>
    </w:p>
    <w:p w14:paraId="1F65C6DC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290FA563" w14:textId="77777777" w:rsidR="00BF68EB" w:rsidRPr="007456A6" w:rsidRDefault="00BF68EB" w:rsidP="006E417F">
      <w:pPr>
        <w:pStyle w:val="BodyText"/>
        <w:ind w:left="354" w:firstLine="118"/>
        <w:rPr>
          <w:rFonts w:ascii="Cambria" w:hAnsi="Cambria"/>
        </w:rPr>
      </w:pPr>
      <w:r w:rsidRPr="007456A6">
        <w:rPr>
          <w:rFonts w:ascii="Cambria" w:hAnsi="Cambria"/>
        </w:rPr>
        <w:t xml:space="preserve">V Bratislave, dňa </w:t>
      </w:r>
      <w:r w:rsidRPr="007456A6">
        <w:rPr>
          <w:rFonts w:ascii="Cambria" w:hAnsi="Cambria"/>
        </w:rPr>
        <w:tab/>
      </w:r>
      <w:r w:rsidRPr="007456A6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456A6">
        <w:rPr>
          <w:rFonts w:ascii="Cambria" w:hAnsi="Cambria"/>
        </w:rPr>
        <w:t>V &lt;</w:t>
      </w:r>
      <w:r w:rsidRPr="008902D1">
        <w:rPr>
          <w:rFonts w:ascii="Cambria" w:hAnsi="Cambria"/>
          <w:color w:val="00B0F0"/>
        </w:rPr>
        <w:t>vyplní uchádzač</w:t>
      </w:r>
      <w:r w:rsidRPr="007456A6">
        <w:rPr>
          <w:rFonts w:ascii="Cambria" w:hAnsi="Cambria"/>
        </w:rPr>
        <w:t>&gt;, dňa &lt;</w:t>
      </w:r>
      <w:r w:rsidRPr="008902D1">
        <w:rPr>
          <w:rFonts w:ascii="Cambria" w:hAnsi="Cambria"/>
          <w:color w:val="00B0F0"/>
        </w:rPr>
        <w:t>vyplní uchádzač</w:t>
      </w:r>
      <w:r w:rsidRPr="007456A6">
        <w:rPr>
          <w:rFonts w:ascii="Cambria" w:hAnsi="Cambria"/>
        </w:rPr>
        <w:t>&gt;</w:t>
      </w:r>
    </w:p>
    <w:p w14:paraId="5C3CA24A" w14:textId="77777777" w:rsidR="002E3236" w:rsidRPr="00BF68EB" w:rsidRDefault="002E3236" w:rsidP="006E417F">
      <w:pPr>
        <w:pStyle w:val="BodyText"/>
        <w:ind w:left="354"/>
        <w:rPr>
          <w:rFonts w:ascii="Cambria" w:hAnsi="Cambria"/>
        </w:rPr>
      </w:pPr>
    </w:p>
    <w:p w14:paraId="1D2AE087" w14:textId="77777777" w:rsidR="002E3236" w:rsidRPr="00BF68EB" w:rsidRDefault="002E3236" w:rsidP="006E417F">
      <w:pPr>
        <w:pStyle w:val="BodyText"/>
        <w:ind w:left="354"/>
        <w:rPr>
          <w:rFonts w:ascii="Cambria" w:hAnsi="Cambria"/>
        </w:rPr>
      </w:pPr>
    </w:p>
    <w:p w14:paraId="10F46740" w14:textId="708A7DB3" w:rsidR="002E3236" w:rsidRPr="00BF68EB" w:rsidRDefault="00CE40A9" w:rsidP="006E417F">
      <w:pPr>
        <w:pStyle w:val="BodyText"/>
        <w:ind w:left="354" w:firstLine="118"/>
        <w:rPr>
          <w:rFonts w:ascii="Cambria" w:hAnsi="Cambria"/>
        </w:rPr>
      </w:pPr>
      <w:r>
        <w:rPr>
          <w:rFonts w:ascii="Cambria" w:hAnsi="Cambria"/>
        </w:rPr>
        <w:t>Národná banka Slovenska</w:t>
      </w:r>
      <w:r w:rsidRPr="00BF68EB">
        <w:rPr>
          <w:rFonts w:ascii="Cambria" w:hAnsi="Cambria"/>
        </w:rPr>
        <w:t xml:space="preserve"> </w:t>
      </w:r>
      <w:r w:rsidR="00246815" w:rsidRPr="00BF68EB">
        <w:rPr>
          <w:rFonts w:ascii="Cambria" w:hAnsi="Cambria"/>
        </w:rPr>
        <w:t>:</w:t>
      </w:r>
      <w:r w:rsidR="00246815" w:rsidRPr="00BF68EB">
        <w:rPr>
          <w:rFonts w:ascii="Cambria" w:hAnsi="Cambria"/>
        </w:rPr>
        <w:tab/>
      </w:r>
      <w:r w:rsidR="00BF68EB">
        <w:rPr>
          <w:rFonts w:ascii="Cambria" w:hAnsi="Cambria"/>
        </w:rPr>
        <w:tab/>
      </w:r>
      <w:r w:rsidR="00246815" w:rsidRPr="00BF68EB">
        <w:rPr>
          <w:rFonts w:ascii="Cambria" w:hAnsi="Cambria"/>
        </w:rPr>
        <w:t>Hospodársky subjekt:</w:t>
      </w:r>
    </w:p>
    <w:p w14:paraId="0B29AB50" w14:textId="77777777" w:rsidR="002E3236" w:rsidRPr="00BF68EB" w:rsidRDefault="002E3236" w:rsidP="006E417F">
      <w:pPr>
        <w:pStyle w:val="BodyText"/>
        <w:ind w:left="354"/>
        <w:rPr>
          <w:rFonts w:ascii="Cambria" w:hAnsi="Cambria"/>
        </w:rPr>
      </w:pPr>
    </w:p>
    <w:p w14:paraId="5E2CD0C7" w14:textId="77777777" w:rsidR="00BF68EB" w:rsidRPr="007456A6" w:rsidRDefault="00BF68EB" w:rsidP="006E417F">
      <w:pPr>
        <w:pStyle w:val="BodyText"/>
        <w:ind w:left="354"/>
        <w:rPr>
          <w:rFonts w:ascii="Cambria" w:hAnsi="Cambria"/>
        </w:rPr>
      </w:pPr>
    </w:p>
    <w:p w14:paraId="7852462B" w14:textId="77777777" w:rsidR="00BF68EB" w:rsidRPr="007456A6" w:rsidRDefault="00BF68EB" w:rsidP="006E417F">
      <w:pPr>
        <w:pStyle w:val="BodyText"/>
        <w:ind w:left="354"/>
        <w:rPr>
          <w:rFonts w:ascii="Cambria" w:hAnsi="Cambria"/>
        </w:rPr>
      </w:pPr>
    </w:p>
    <w:p w14:paraId="075AE4B3" w14:textId="77777777" w:rsidR="00BF68EB" w:rsidRPr="007456A6" w:rsidRDefault="00BF68EB" w:rsidP="006E417F">
      <w:pPr>
        <w:pStyle w:val="BodyText"/>
        <w:ind w:left="354"/>
        <w:rPr>
          <w:rFonts w:ascii="Cambria" w:hAnsi="Cambria"/>
        </w:rPr>
      </w:pPr>
    </w:p>
    <w:p w14:paraId="45044AEB" w14:textId="0C05253B" w:rsidR="00BF68EB" w:rsidRPr="007456A6" w:rsidRDefault="00BF68EB" w:rsidP="006E417F">
      <w:pPr>
        <w:pStyle w:val="BodyText"/>
        <w:ind w:left="354"/>
        <w:rPr>
          <w:rFonts w:ascii="Cambria" w:hAnsi="Cambria"/>
        </w:rPr>
      </w:pPr>
      <w:r w:rsidRPr="007456A6">
        <w:rPr>
          <w:rFonts w:ascii="Cambria" w:hAnsi="Cambria"/>
        </w:rPr>
        <w:t>_______________________________</w:t>
      </w:r>
      <w:r w:rsidRPr="007456A6">
        <w:rPr>
          <w:rFonts w:ascii="Cambria" w:hAnsi="Cambria"/>
        </w:rPr>
        <w:tab/>
      </w:r>
      <w:r w:rsidRPr="007456A6">
        <w:rPr>
          <w:rFonts w:ascii="Cambria" w:hAnsi="Cambria"/>
        </w:rPr>
        <w:tab/>
        <w:t>_______________________________</w:t>
      </w:r>
    </w:p>
    <w:p w14:paraId="50BAF36F" w14:textId="596DB8FA" w:rsidR="00BF68EB" w:rsidRDefault="00033F61" w:rsidP="00D2647E">
      <w:pPr>
        <w:pStyle w:val="BodyText"/>
        <w:ind w:left="354"/>
        <w:rPr>
          <w:rFonts w:ascii="Cambria" w:hAnsi="Cambria"/>
        </w:rPr>
      </w:pPr>
      <w:r w:rsidRPr="00033F61">
        <w:rPr>
          <w:rFonts w:ascii="Cambria" w:hAnsi="Cambria"/>
        </w:rPr>
        <w:t>Ing. Karol Lintner</w:t>
      </w:r>
      <w:r w:rsidR="00CE40A9">
        <w:rPr>
          <w:rFonts w:ascii="Cambria" w:hAnsi="Cambria"/>
        </w:rPr>
        <w:tab/>
      </w:r>
      <w:r w:rsidR="00CE40A9">
        <w:rPr>
          <w:rFonts w:ascii="Cambria" w:hAnsi="Cambria"/>
        </w:rPr>
        <w:tab/>
      </w:r>
      <w:r w:rsidR="00BF68EB">
        <w:rPr>
          <w:rFonts w:ascii="Cambria" w:hAnsi="Cambria"/>
        </w:rPr>
        <w:tab/>
      </w:r>
      <w:r w:rsidR="00BF68EB">
        <w:rPr>
          <w:rFonts w:ascii="Cambria" w:hAnsi="Cambria"/>
        </w:rPr>
        <w:tab/>
      </w:r>
      <w:r w:rsidR="00BF68EB" w:rsidRPr="007456A6">
        <w:rPr>
          <w:rFonts w:ascii="Cambria" w:hAnsi="Cambria"/>
        </w:rPr>
        <w:t>&lt;</w:t>
      </w:r>
      <w:r w:rsidR="00BF68EB" w:rsidRPr="008902D1">
        <w:rPr>
          <w:rFonts w:ascii="Cambria" w:hAnsi="Cambria"/>
          <w:color w:val="00B0F0"/>
        </w:rPr>
        <w:t>vyplní uchádzač</w:t>
      </w:r>
      <w:r w:rsidR="00BF68EB" w:rsidRPr="007456A6">
        <w:rPr>
          <w:rFonts w:ascii="Cambria" w:hAnsi="Cambria"/>
        </w:rPr>
        <w:t>&gt;</w:t>
      </w:r>
    </w:p>
    <w:p w14:paraId="2F19CFE7" w14:textId="615E297B" w:rsidR="00BF68EB" w:rsidRDefault="00033F61" w:rsidP="00D2647E">
      <w:pPr>
        <w:pStyle w:val="BodyText"/>
        <w:ind w:left="354"/>
        <w:rPr>
          <w:rFonts w:ascii="Cambria" w:hAnsi="Cambria"/>
        </w:rPr>
      </w:pPr>
      <w:r w:rsidRPr="00033F61">
        <w:rPr>
          <w:rFonts w:ascii="Cambria" w:hAnsi="Cambria"/>
        </w:rPr>
        <w:t>riaditeľ</w:t>
      </w:r>
      <w:r w:rsidR="00BF68EB" w:rsidRPr="007456A6">
        <w:rPr>
          <w:rFonts w:ascii="Cambria" w:hAnsi="Cambria"/>
        </w:rPr>
        <w:tab/>
      </w:r>
      <w:r w:rsidR="00BF68EB" w:rsidRPr="007456A6">
        <w:rPr>
          <w:rFonts w:ascii="Cambria" w:hAnsi="Cambria"/>
        </w:rPr>
        <w:tab/>
      </w:r>
      <w:r w:rsidR="00BF68EB" w:rsidRPr="007456A6">
        <w:rPr>
          <w:rFonts w:ascii="Cambria" w:hAnsi="Cambria"/>
        </w:rPr>
        <w:tab/>
      </w:r>
      <w:r w:rsidR="00BF68EB" w:rsidRPr="007456A6">
        <w:rPr>
          <w:rFonts w:ascii="Cambria" w:hAnsi="Cambria"/>
        </w:rPr>
        <w:tab/>
      </w:r>
      <w:r w:rsidR="00BF68EB">
        <w:rPr>
          <w:rFonts w:ascii="Cambria" w:hAnsi="Cambria"/>
        </w:rPr>
        <w:tab/>
      </w:r>
      <w:r w:rsidR="00BF68EB" w:rsidRPr="007456A6">
        <w:rPr>
          <w:rFonts w:ascii="Cambria" w:hAnsi="Cambria"/>
        </w:rPr>
        <w:t>&lt;</w:t>
      </w:r>
      <w:r w:rsidR="00BF68EB" w:rsidRPr="008902D1">
        <w:rPr>
          <w:rFonts w:ascii="Cambria" w:hAnsi="Cambria"/>
          <w:color w:val="00B0F0"/>
        </w:rPr>
        <w:t>vyplní uchádzač</w:t>
      </w:r>
      <w:r w:rsidR="00BF68EB" w:rsidRPr="007456A6">
        <w:rPr>
          <w:rFonts w:ascii="Cambria" w:hAnsi="Cambria"/>
        </w:rPr>
        <w:t>&gt;</w:t>
      </w:r>
    </w:p>
    <w:p w14:paraId="693F8AF4" w14:textId="45C2B384" w:rsidR="00033F61" w:rsidRPr="00165603" w:rsidRDefault="00033F61" w:rsidP="00D2647E">
      <w:pPr>
        <w:pStyle w:val="BodyText"/>
        <w:ind w:left="354"/>
        <w:rPr>
          <w:rFonts w:ascii="Cambria" w:hAnsi="Cambria"/>
        </w:rPr>
      </w:pPr>
      <w:r w:rsidRPr="00033F61">
        <w:rPr>
          <w:rFonts w:ascii="Cambria" w:hAnsi="Cambria"/>
        </w:rPr>
        <w:t>odbor ochrany a bezpečnosti</w:t>
      </w:r>
    </w:p>
    <w:p w14:paraId="43537634" w14:textId="36C63133" w:rsidR="002E3236" w:rsidRPr="00BF68EB" w:rsidRDefault="002E3236" w:rsidP="00BF68EB">
      <w:pPr>
        <w:pStyle w:val="BodyText"/>
        <w:rPr>
          <w:rFonts w:ascii="Cambria" w:hAnsi="Cambria"/>
          <w:b/>
        </w:rPr>
      </w:pPr>
    </w:p>
    <w:sectPr w:rsidR="002E3236" w:rsidRPr="00BF68EB" w:rsidSect="004F2AF0">
      <w:footerReference w:type="default" r:id="rId7"/>
      <w:pgSz w:w="11910" w:h="16840"/>
      <w:pgMar w:top="1418" w:right="1418" w:bottom="1418" w:left="1418" w:header="0" w:footer="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3A777" w14:textId="77777777" w:rsidR="00853F65" w:rsidRDefault="00853F65">
      <w:r>
        <w:separator/>
      </w:r>
    </w:p>
  </w:endnote>
  <w:endnote w:type="continuationSeparator" w:id="0">
    <w:p w14:paraId="5C7A4D15" w14:textId="77777777" w:rsidR="00853F65" w:rsidRDefault="0085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73AA" w14:textId="5761F734" w:rsidR="002E3236" w:rsidRDefault="000232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D8357F" wp14:editId="35AD60A9">
              <wp:simplePos x="0" y="0"/>
              <wp:positionH relativeFrom="page">
                <wp:posOffset>3653790</wp:posOffset>
              </wp:positionH>
              <wp:positionV relativeFrom="page">
                <wp:posOffset>10285095</wp:posOffset>
              </wp:positionV>
              <wp:extent cx="22796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92826" w14:textId="4B283B74" w:rsidR="002E3236" w:rsidRDefault="00246815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4F2AF0"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835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809.85pt;width:17.9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af5wEAALUDAAAOAAAAZHJzL2Uyb0RvYy54bWysU1Fv0zAQfkfiP1h+p2kr6CBqOo1NQ0iD&#10;IW38AMexE4vYZ85uk/LrOTtNGext4sW6nO8+f993l+3laHt2UBgMuIqvFkvOlJPQGNdW/Pvj7Zv3&#10;nIUoXCN6cKriRxX45e71q+3gS7WGDvpGISMQF8rBV7yL0ZdFEWSnrAgL8MrRpQa0ItIntkWDYiB0&#10;2xfr5XJTDICNR5AqBMreTJd8l/G1VjLeax1UZH3FiVvMJ+azTmex24qyReE7I080xAtYWGEcPXqG&#10;uhFRsD2aZ1DWSIQAOi4k2AK0NlJlDaRmtfxHzUMnvMpayJzgzzaF/wcrvx6+ITMNzY4zJyyN6FGN&#10;kX2Eka2SO4MPJRU9eCqLI6VTZVIa/B3IH4E5uO6Ea9UVIgydEg2xy53Fk9YJJySQevgCDT0j9hEy&#10;0KjRJkAygxE6Tel4nkyiIim5Xl982LzjTNLVanOxeZsnV4hybvYY4icFlqWg4kiDz+DicBciyaDS&#10;uSS95eDW9H0efu/+SlBhymTyie/EPI71eDKjhuZIMhCmXaLdp6AD/MXZQHtU8fBzL1Bx1n92ZEVa&#10;ujnAOajnQDhJrRWPnE3hdZyWc+/RtB0hT2Y7uCK7tMlSkq8TixNP2o2s8LTHafmefueqP3/b7jcA&#10;AAD//wMAUEsDBBQABgAIAAAAIQDCYynv4gAAAA0BAAAPAAAAZHJzL2Rvd25yZXYueG1sTI/BTsMw&#10;DIbvSLxDZCRuLA1s2VaaThOCExKiK4cd0yZrqzVOabKtvD3eCY72/+n352wzuZ6d7Rg6jwrELAFm&#10;sfamw0bBV/n2sAIWokaje49WwY8NsMlvbzKdGn/Bwp53sWFUgiHVCtoYh5TzULfW6TDzg0XKDn50&#10;OtI4NtyM+kLlruePSSK50x3ShVYP9qW19XF3cgq2eyxeu++P6rM4FF1ZrhN8l0el7u+m7TOwaKf4&#10;B8NVn9QhJ6fKn9AE1itYLBdzQimQYr0ERogU4glYdV3NpQCeZ/z/F/kvAAAA//8DAFBLAQItABQA&#10;BgAIAAAAIQC2gziS/gAAAOEBAAATAAAAAAAAAAAAAAAAAAAAAABbQ29udGVudF9UeXBlc10ueG1s&#10;UEsBAi0AFAAGAAgAAAAhADj9If/WAAAAlAEAAAsAAAAAAAAAAAAAAAAALwEAAF9yZWxzLy5yZWxz&#10;UEsBAi0AFAAGAAgAAAAhAAuu5p/nAQAAtQMAAA4AAAAAAAAAAAAAAAAALgIAAGRycy9lMm9Eb2Mu&#10;eG1sUEsBAi0AFAAGAAgAAAAhAMJjKe/iAAAADQEAAA8AAAAAAAAAAAAAAAAAQQQAAGRycy9kb3du&#10;cmV2LnhtbFBLBQYAAAAABAAEAPMAAABQBQAAAAA=&#10;" filled="f" stroked="f">
              <v:textbox inset="0,0,0,0">
                <w:txbxContent>
                  <w:p w14:paraId="08892826" w14:textId="4B283B74" w:rsidR="002E3236" w:rsidRDefault="00246815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r w:rsidR="004F2AF0"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C3C8" w14:textId="77777777" w:rsidR="00853F65" w:rsidRDefault="00853F65">
      <w:r>
        <w:separator/>
      </w:r>
    </w:p>
  </w:footnote>
  <w:footnote w:type="continuationSeparator" w:id="0">
    <w:p w14:paraId="039D24D6" w14:textId="77777777" w:rsidR="00853F65" w:rsidRDefault="0085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A65"/>
    <w:multiLevelType w:val="multilevel"/>
    <w:tmpl w:val="08D66F3C"/>
    <w:lvl w:ilvl="0">
      <w:start w:val="5"/>
      <w:numFmt w:val="decimal"/>
      <w:lvlText w:val="%1"/>
      <w:lvlJc w:val="left"/>
      <w:pPr>
        <w:ind w:left="657" w:hanging="5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7" w:hanging="539"/>
      </w:pPr>
      <w:rPr>
        <w:rFonts w:asciiTheme="majorHAnsi" w:eastAsia="Arial" w:hAnsiTheme="majorHAnsi" w:cs="Arial" w:hint="default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8" w:hanging="539"/>
      </w:pPr>
      <w:rPr>
        <w:rFonts w:hint="default"/>
      </w:rPr>
    </w:lvl>
    <w:lvl w:ilvl="3">
      <w:numFmt w:val="bullet"/>
      <w:lvlText w:val="•"/>
      <w:lvlJc w:val="left"/>
      <w:pPr>
        <w:ind w:left="3253" w:hanging="539"/>
      </w:pPr>
      <w:rPr>
        <w:rFonts w:hint="default"/>
      </w:rPr>
    </w:lvl>
    <w:lvl w:ilvl="4">
      <w:numFmt w:val="bullet"/>
      <w:lvlText w:val="•"/>
      <w:lvlJc w:val="left"/>
      <w:pPr>
        <w:ind w:left="4117" w:hanging="539"/>
      </w:pPr>
      <w:rPr>
        <w:rFonts w:hint="default"/>
      </w:rPr>
    </w:lvl>
    <w:lvl w:ilvl="5">
      <w:numFmt w:val="bullet"/>
      <w:lvlText w:val="•"/>
      <w:lvlJc w:val="left"/>
      <w:pPr>
        <w:ind w:left="4982" w:hanging="539"/>
      </w:pPr>
      <w:rPr>
        <w:rFonts w:hint="default"/>
      </w:rPr>
    </w:lvl>
    <w:lvl w:ilvl="6">
      <w:numFmt w:val="bullet"/>
      <w:lvlText w:val="•"/>
      <w:lvlJc w:val="left"/>
      <w:pPr>
        <w:ind w:left="5846" w:hanging="539"/>
      </w:pPr>
      <w:rPr>
        <w:rFonts w:hint="default"/>
      </w:rPr>
    </w:lvl>
    <w:lvl w:ilvl="7">
      <w:numFmt w:val="bullet"/>
      <w:lvlText w:val="•"/>
      <w:lvlJc w:val="left"/>
      <w:pPr>
        <w:ind w:left="6711" w:hanging="539"/>
      </w:pPr>
      <w:rPr>
        <w:rFonts w:hint="default"/>
      </w:rPr>
    </w:lvl>
    <w:lvl w:ilvl="8">
      <w:numFmt w:val="bullet"/>
      <w:lvlText w:val="•"/>
      <w:lvlJc w:val="left"/>
      <w:pPr>
        <w:ind w:left="7575" w:hanging="539"/>
      </w:pPr>
      <w:rPr>
        <w:rFonts w:hint="default"/>
      </w:rPr>
    </w:lvl>
  </w:abstractNum>
  <w:abstractNum w:abstractNumId="1" w15:restartNumberingAfterBreak="0">
    <w:nsid w:val="25347844"/>
    <w:multiLevelType w:val="multilevel"/>
    <w:tmpl w:val="BF189D32"/>
    <w:lvl w:ilvl="0">
      <w:start w:val="3"/>
      <w:numFmt w:val="decimal"/>
      <w:lvlText w:val="%1"/>
      <w:lvlJc w:val="left"/>
      <w:pPr>
        <w:ind w:left="656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6" w:hanging="492"/>
      </w:pPr>
      <w:rPr>
        <w:rFonts w:asciiTheme="majorHAnsi" w:eastAsia="Arial" w:hAnsiTheme="majorHAnsi" w:cs="Arial" w:hint="default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8" w:hanging="492"/>
      </w:pPr>
      <w:rPr>
        <w:rFonts w:hint="default"/>
      </w:rPr>
    </w:lvl>
    <w:lvl w:ilvl="3">
      <w:numFmt w:val="bullet"/>
      <w:lvlText w:val="•"/>
      <w:lvlJc w:val="left"/>
      <w:pPr>
        <w:ind w:left="3253" w:hanging="492"/>
      </w:pPr>
      <w:rPr>
        <w:rFonts w:hint="default"/>
      </w:rPr>
    </w:lvl>
    <w:lvl w:ilvl="4">
      <w:numFmt w:val="bullet"/>
      <w:lvlText w:val="•"/>
      <w:lvlJc w:val="left"/>
      <w:pPr>
        <w:ind w:left="4117" w:hanging="492"/>
      </w:pPr>
      <w:rPr>
        <w:rFonts w:hint="default"/>
      </w:rPr>
    </w:lvl>
    <w:lvl w:ilvl="5">
      <w:numFmt w:val="bullet"/>
      <w:lvlText w:val="•"/>
      <w:lvlJc w:val="left"/>
      <w:pPr>
        <w:ind w:left="4982" w:hanging="492"/>
      </w:pPr>
      <w:rPr>
        <w:rFonts w:hint="default"/>
      </w:rPr>
    </w:lvl>
    <w:lvl w:ilvl="6">
      <w:numFmt w:val="bullet"/>
      <w:lvlText w:val="•"/>
      <w:lvlJc w:val="left"/>
      <w:pPr>
        <w:ind w:left="5846" w:hanging="492"/>
      </w:pPr>
      <w:rPr>
        <w:rFonts w:hint="default"/>
      </w:rPr>
    </w:lvl>
    <w:lvl w:ilvl="7">
      <w:numFmt w:val="bullet"/>
      <w:lvlText w:val="•"/>
      <w:lvlJc w:val="left"/>
      <w:pPr>
        <w:ind w:left="6711" w:hanging="492"/>
      </w:pPr>
      <w:rPr>
        <w:rFonts w:hint="default"/>
      </w:rPr>
    </w:lvl>
    <w:lvl w:ilvl="8">
      <w:numFmt w:val="bullet"/>
      <w:lvlText w:val="•"/>
      <w:lvlJc w:val="left"/>
      <w:pPr>
        <w:ind w:left="7575" w:hanging="492"/>
      </w:pPr>
      <w:rPr>
        <w:rFonts w:hint="default"/>
      </w:rPr>
    </w:lvl>
  </w:abstractNum>
  <w:abstractNum w:abstractNumId="2" w15:restartNumberingAfterBreak="0">
    <w:nsid w:val="34C40544"/>
    <w:multiLevelType w:val="hybridMultilevel"/>
    <w:tmpl w:val="846492D4"/>
    <w:lvl w:ilvl="0" w:tplc="5C20CB5A">
      <w:start w:val="1"/>
      <w:numFmt w:val="upperRoman"/>
      <w:lvlText w:val="%1."/>
      <w:lvlJc w:val="left"/>
      <w:pPr>
        <w:ind w:left="3992" w:hanging="709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E2B4A900">
      <w:numFmt w:val="bullet"/>
      <w:lvlText w:val="•"/>
      <w:lvlJc w:val="left"/>
      <w:pPr>
        <w:ind w:left="4530" w:hanging="709"/>
      </w:pPr>
      <w:rPr>
        <w:rFonts w:hint="default"/>
      </w:rPr>
    </w:lvl>
    <w:lvl w:ilvl="2" w:tplc="0E8EDE58">
      <w:numFmt w:val="bullet"/>
      <w:lvlText w:val="•"/>
      <w:lvlJc w:val="left"/>
      <w:pPr>
        <w:ind w:left="5060" w:hanging="709"/>
      </w:pPr>
      <w:rPr>
        <w:rFonts w:hint="default"/>
      </w:rPr>
    </w:lvl>
    <w:lvl w:ilvl="3" w:tplc="53009902">
      <w:numFmt w:val="bullet"/>
      <w:lvlText w:val="•"/>
      <w:lvlJc w:val="left"/>
      <w:pPr>
        <w:ind w:left="5591" w:hanging="709"/>
      </w:pPr>
      <w:rPr>
        <w:rFonts w:hint="default"/>
      </w:rPr>
    </w:lvl>
    <w:lvl w:ilvl="4" w:tplc="875EB120">
      <w:numFmt w:val="bullet"/>
      <w:lvlText w:val="•"/>
      <w:lvlJc w:val="left"/>
      <w:pPr>
        <w:ind w:left="6121" w:hanging="709"/>
      </w:pPr>
      <w:rPr>
        <w:rFonts w:hint="default"/>
      </w:rPr>
    </w:lvl>
    <w:lvl w:ilvl="5" w:tplc="A9500950">
      <w:numFmt w:val="bullet"/>
      <w:lvlText w:val="•"/>
      <w:lvlJc w:val="left"/>
      <w:pPr>
        <w:ind w:left="6652" w:hanging="709"/>
      </w:pPr>
      <w:rPr>
        <w:rFonts w:hint="default"/>
      </w:rPr>
    </w:lvl>
    <w:lvl w:ilvl="6" w:tplc="A092B2EE">
      <w:numFmt w:val="bullet"/>
      <w:lvlText w:val="•"/>
      <w:lvlJc w:val="left"/>
      <w:pPr>
        <w:ind w:left="7182" w:hanging="709"/>
      </w:pPr>
      <w:rPr>
        <w:rFonts w:hint="default"/>
      </w:rPr>
    </w:lvl>
    <w:lvl w:ilvl="7" w:tplc="DF5A2D72">
      <w:numFmt w:val="bullet"/>
      <w:lvlText w:val="•"/>
      <w:lvlJc w:val="left"/>
      <w:pPr>
        <w:ind w:left="7713" w:hanging="709"/>
      </w:pPr>
      <w:rPr>
        <w:rFonts w:hint="default"/>
      </w:rPr>
    </w:lvl>
    <w:lvl w:ilvl="8" w:tplc="D02CABC6">
      <w:numFmt w:val="bullet"/>
      <w:lvlText w:val="•"/>
      <w:lvlJc w:val="left"/>
      <w:pPr>
        <w:ind w:left="8243" w:hanging="709"/>
      </w:pPr>
      <w:rPr>
        <w:rFonts w:hint="default"/>
      </w:rPr>
    </w:lvl>
  </w:abstractNum>
  <w:abstractNum w:abstractNumId="3" w15:restartNumberingAfterBreak="0">
    <w:nsid w:val="40FB1421"/>
    <w:multiLevelType w:val="multilevel"/>
    <w:tmpl w:val="4894B7BA"/>
    <w:lvl w:ilvl="0">
      <w:start w:val="2"/>
      <w:numFmt w:val="decimal"/>
      <w:lvlText w:val="%1"/>
      <w:lvlJc w:val="left"/>
      <w:pPr>
        <w:ind w:left="686" w:hanging="5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6" w:hanging="568"/>
      </w:pPr>
      <w:rPr>
        <w:rFonts w:asciiTheme="majorHAnsi" w:eastAsia="Arial" w:hAnsiTheme="majorHAnsi" w:cs="Arial" w:hint="default"/>
        <w:b w:val="0"/>
        <w:bCs w:val="0"/>
        <w:i w:val="0"/>
        <w:iCs/>
        <w:w w:val="99"/>
        <w:sz w:val="22"/>
        <w:szCs w:val="22"/>
      </w:rPr>
    </w:lvl>
    <w:lvl w:ilvl="2">
      <w:numFmt w:val="bullet"/>
      <w:lvlText w:val="-"/>
      <w:lvlJc w:val="left"/>
      <w:pPr>
        <w:ind w:left="832" w:hanging="358"/>
      </w:pPr>
      <w:rPr>
        <w:rFonts w:ascii="Arial" w:eastAsia="Arial" w:hAnsi="Arial" w:cs="Aria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2720" w:hanging="358"/>
      </w:pPr>
      <w:rPr>
        <w:rFonts w:hint="default"/>
      </w:rPr>
    </w:lvl>
    <w:lvl w:ilvl="4">
      <w:numFmt w:val="bullet"/>
      <w:lvlText w:val="•"/>
      <w:lvlJc w:val="left"/>
      <w:pPr>
        <w:ind w:left="3661" w:hanging="358"/>
      </w:pPr>
      <w:rPr>
        <w:rFonts w:hint="default"/>
      </w:rPr>
    </w:lvl>
    <w:lvl w:ilvl="5">
      <w:numFmt w:val="bullet"/>
      <w:lvlText w:val="•"/>
      <w:lvlJc w:val="left"/>
      <w:pPr>
        <w:ind w:left="4601" w:hanging="358"/>
      </w:pPr>
      <w:rPr>
        <w:rFonts w:hint="default"/>
      </w:rPr>
    </w:lvl>
    <w:lvl w:ilvl="6">
      <w:numFmt w:val="bullet"/>
      <w:lvlText w:val="•"/>
      <w:lvlJc w:val="left"/>
      <w:pPr>
        <w:ind w:left="5542" w:hanging="358"/>
      </w:pPr>
      <w:rPr>
        <w:rFonts w:hint="default"/>
      </w:rPr>
    </w:lvl>
    <w:lvl w:ilvl="7">
      <w:numFmt w:val="bullet"/>
      <w:lvlText w:val="•"/>
      <w:lvlJc w:val="left"/>
      <w:pPr>
        <w:ind w:left="6482" w:hanging="358"/>
      </w:pPr>
      <w:rPr>
        <w:rFonts w:hint="default"/>
      </w:rPr>
    </w:lvl>
    <w:lvl w:ilvl="8">
      <w:numFmt w:val="bullet"/>
      <w:lvlText w:val="•"/>
      <w:lvlJc w:val="left"/>
      <w:pPr>
        <w:ind w:left="7423" w:hanging="358"/>
      </w:pPr>
      <w:rPr>
        <w:rFonts w:hint="default"/>
      </w:rPr>
    </w:lvl>
  </w:abstractNum>
  <w:abstractNum w:abstractNumId="4" w15:restartNumberingAfterBreak="0">
    <w:nsid w:val="5EB03DDF"/>
    <w:multiLevelType w:val="multilevel"/>
    <w:tmpl w:val="7CF68896"/>
    <w:lvl w:ilvl="0">
      <w:start w:val="6"/>
      <w:numFmt w:val="decimal"/>
      <w:lvlText w:val="%1"/>
      <w:lvlJc w:val="left"/>
      <w:pPr>
        <w:ind w:left="658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540"/>
      </w:pPr>
      <w:rPr>
        <w:rFonts w:asciiTheme="majorHAnsi" w:eastAsia="Arial" w:hAnsiTheme="majorHAnsi" w:cs="Arial" w:hint="default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8" w:hanging="540"/>
      </w:pPr>
      <w:rPr>
        <w:rFonts w:hint="default"/>
      </w:rPr>
    </w:lvl>
    <w:lvl w:ilvl="3">
      <w:numFmt w:val="bullet"/>
      <w:lvlText w:val="•"/>
      <w:lvlJc w:val="left"/>
      <w:pPr>
        <w:ind w:left="3253" w:hanging="540"/>
      </w:pPr>
      <w:rPr>
        <w:rFonts w:hint="default"/>
      </w:rPr>
    </w:lvl>
    <w:lvl w:ilvl="4">
      <w:numFmt w:val="bullet"/>
      <w:lvlText w:val="•"/>
      <w:lvlJc w:val="left"/>
      <w:pPr>
        <w:ind w:left="4117" w:hanging="540"/>
      </w:pPr>
      <w:rPr>
        <w:rFonts w:hint="default"/>
      </w:rPr>
    </w:lvl>
    <w:lvl w:ilvl="5">
      <w:numFmt w:val="bullet"/>
      <w:lvlText w:val="•"/>
      <w:lvlJc w:val="left"/>
      <w:pPr>
        <w:ind w:left="4982" w:hanging="540"/>
      </w:pPr>
      <w:rPr>
        <w:rFonts w:hint="default"/>
      </w:rPr>
    </w:lvl>
    <w:lvl w:ilvl="6">
      <w:numFmt w:val="bullet"/>
      <w:lvlText w:val="•"/>
      <w:lvlJc w:val="left"/>
      <w:pPr>
        <w:ind w:left="5846" w:hanging="540"/>
      </w:pPr>
      <w:rPr>
        <w:rFonts w:hint="default"/>
      </w:rPr>
    </w:lvl>
    <w:lvl w:ilvl="7">
      <w:numFmt w:val="bullet"/>
      <w:lvlText w:val="•"/>
      <w:lvlJc w:val="left"/>
      <w:pPr>
        <w:ind w:left="6711" w:hanging="540"/>
      </w:pPr>
      <w:rPr>
        <w:rFonts w:hint="default"/>
      </w:rPr>
    </w:lvl>
    <w:lvl w:ilvl="8">
      <w:numFmt w:val="bullet"/>
      <w:lvlText w:val="•"/>
      <w:lvlJc w:val="left"/>
      <w:pPr>
        <w:ind w:left="7575" w:hanging="540"/>
      </w:pPr>
      <w:rPr>
        <w:rFonts w:hint="default"/>
      </w:rPr>
    </w:lvl>
  </w:abstractNum>
  <w:abstractNum w:abstractNumId="5" w15:restartNumberingAfterBreak="0">
    <w:nsid w:val="62C20636"/>
    <w:multiLevelType w:val="multilevel"/>
    <w:tmpl w:val="6C7E7D44"/>
    <w:lvl w:ilvl="0">
      <w:start w:val="4"/>
      <w:numFmt w:val="decimal"/>
      <w:lvlText w:val="%1"/>
      <w:lvlJc w:val="left"/>
      <w:pPr>
        <w:ind w:left="658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540"/>
      </w:pPr>
      <w:rPr>
        <w:rFonts w:ascii="Cambria" w:eastAsia="Arial" w:hAnsi="Cambria" w:cs="Arial" w:hint="default"/>
        <w:b w:val="0"/>
        <w:bCs w:val="0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110" w:hanging="425"/>
      </w:pPr>
      <w:rPr>
        <w:rFonts w:ascii="Cambria" w:eastAsia="Arial" w:hAnsi="Cambria" w:cs="Aria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1200" w:hanging="425"/>
      </w:pPr>
      <w:rPr>
        <w:rFonts w:hint="default"/>
      </w:rPr>
    </w:lvl>
    <w:lvl w:ilvl="4">
      <w:numFmt w:val="bullet"/>
      <w:lvlText w:val="•"/>
      <w:lvlJc w:val="left"/>
      <w:pPr>
        <w:ind w:left="2357" w:hanging="425"/>
      </w:pPr>
      <w:rPr>
        <w:rFonts w:hint="default"/>
      </w:rPr>
    </w:lvl>
    <w:lvl w:ilvl="5">
      <w:numFmt w:val="bullet"/>
      <w:lvlText w:val="•"/>
      <w:lvlJc w:val="left"/>
      <w:pPr>
        <w:ind w:left="3515" w:hanging="425"/>
      </w:pPr>
      <w:rPr>
        <w:rFonts w:hint="default"/>
      </w:rPr>
    </w:lvl>
    <w:lvl w:ilvl="6">
      <w:numFmt w:val="bullet"/>
      <w:lvlText w:val="•"/>
      <w:lvlJc w:val="left"/>
      <w:pPr>
        <w:ind w:left="4673" w:hanging="425"/>
      </w:pPr>
      <w:rPr>
        <w:rFonts w:hint="default"/>
      </w:rPr>
    </w:lvl>
    <w:lvl w:ilvl="7">
      <w:numFmt w:val="bullet"/>
      <w:lvlText w:val="•"/>
      <w:lvlJc w:val="left"/>
      <w:pPr>
        <w:ind w:left="5831" w:hanging="425"/>
      </w:pPr>
      <w:rPr>
        <w:rFonts w:hint="default"/>
      </w:rPr>
    </w:lvl>
    <w:lvl w:ilvl="8">
      <w:numFmt w:val="bullet"/>
      <w:lvlText w:val="•"/>
      <w:lvlJc w:val="left"/>
      <w:pPr>
        <w:ind w:left="6988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36"/>
    <w:rsid w:val="00023225"/>
    <w:rsid w:val="00033F61"/>
    <w:rsid w:val="000849DD"/>
    <w:rsid w:val="000A01C8"/>
    <w:rsid w:val="000B3D01"/>
    <w:rsid w:val="000E3A6C"/>
    <w:rsid w:val="000E7CEC"/>
    <w:rsid w:val="00150B38"/>
    <w:rsid w:val="001775D2"/>
    <w:rsid w:val="001A7738"/>
    <w:rsid w:val="001A7844"/>
    <w:rsid w:val="00224556"/>
    <w:rsid w:val="00246815"/>
    <w:rsid w:val="0028069F"/>
    <w:rsid w:val="002828A1"/>
    <w:rsid w:val="00286047"/>
    <w:rsid w:val="002E3236"/>
    <w:rsid w:val="002F7235"/>
    <w:rsid w:val="003100B8"/>
    <w:rsid w:val="00390999"/>
    <w:rsid w:val="004073C3"/>
    <w:rsid w:val="00466A25"/>
    <w:rsid w:val="004C2659"/>
    <w:rsid w:val="004E06B8"/>
    <w:rsid w:val="004F2AF0"/>
    <w:rsid w:val="005755B7"/>
    <w:rsid w:val="00580376"/>
    <w:rsid w:val="005A4CA8"/>
    <w:rsid w:val="005C490D"/>
    <w:rsid w:val="005D7B3D"/>
    <w:rsid w:val="0062424F"/>
    <w:rsid w:val="00633613"/>
    <w:rsid w:val="00670990"/>
    <w:rsid w:val="00681373"/>
    <w:rsid w:val="006A77A5"/>
    <w:rsid w:val="006E417F"/>
    <w:rsid w:val="006F2688"/>
    <w:rsid w:val="007173C8"/>
    <w:rsid w:val="00736C9A"/>
    <w:rsid w:val="00853F65"/>
    <w:rsid w:val="008902D1"/>
    <w:rsid w:val="008B0285"/>
    <w:rsid w:val="008B545E"/>
    <w:rsid w:val="0092162D"/>
    <w:rsid w:val="009A28E4"/>
    <w:rsid w:val="009F06CF"/>
    <w:rsid w:val="00A123B0"/>
    <w:rsid w:val="00A744E8"/>
    <w:rsid w:val="00A84676"/>
    <w:rsid w:val="00AB5B41"/>
    <w:rsid w:val="00AB5C37"/>
    <w:rsid w:val="00BB59AF"/>
    <w:rsid w:val="00BC53B0"/>
    <w:rsid w:val="00BD5C30"/>
    <w:rsid w:val="00BD610F"/>
    <w:rsid w:val="00BF68EB"/>
    <w:rsid w:val="00C9165B"/>
    <w:rsid w:val="00CE0F29"/>
    <w:rsid w:val="00CE40A9"/>
    <w:rsid w:val="00D2647E"/>
    <w:rsid w:val="00D63CA1"/>
    <w:rsid w:val="00DA0917"/>
    <w:rsid w:val="00DC18B2"/>
    <w:rsid w:val="00F8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F67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k-SK"/>
    </w:rPr>
  </w:style>
  <w:style w:type="paragraph" w:styleId="Heading1">
    <w:name w:val="heading 1"/>
    <w:basedOn w:val="Normal"/>
    <w:uiPriority w:val="9"/>
    <w:qFormat/>
    <w:pPr>
      <w:ind w:left="118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58" w:right="113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81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373"/>
    <w:rPr>
      <w:rFonts w:ascii="Arial" w:eastAsia="Arial" w:hAnsi="Arial" w:cs="Arial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373"/>
    <w:rPr>
      <w:rFonts w:ascii="Arial" w:eastAsia="Arial" w:hAnsi="Arial" w:cs="Arial"/>
      <w:b/>
      <w:bCs/>
      <w:sz w:val="20"/>
      <w:szCs w:val="20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F2A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AF0"/>
    <w:rPr>
      <w:rFonts w:ascii="Arial" w:eastAsia="Arial" w:hAnsi="Arial" w:cs="Arial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4F2A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AF0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2022-06-08T08:19:00Z</dcterms:created>
  <dcterms:modified xsi:type="dcterms:W3CDTF">2022-06-08T08:19:00Z</dcterms:modified>
</cp:coreProperties>
</file>