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21"/>
        <w:gridCol w:w="7051"/>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6733E8">
              <w:rPr>
                <w:bCs/>
              </w:rPr>
              <w:t xml:space="preserve"> – CT 3. kategórie pre </w:t>
            </w:r>
            <w:r w:rsidR="000A012B" w:rsidRPr="000A012B">
              <w:rPr>
                <w:b/>
                <w:bCs/>
                <w:iCs/>
              </w:rPr>
              <w:t xml:space="preserve">Univerzitnú nemocnicu L. </w:t>
            </w:r>
            <w:proofErr w:type="spellStart"/>
            <w:r w:rsidR="000A012B" w:rsidRPr="000A012B">
              <w:rPr>
                <w:b/>
                <w:bCs/>
                <w:iCs/>
              </w:rPr>
              <w:t>Pasteura</w:t>
            </w:r>
            <w:proofErr w:type="spellEnd"/>
            <w:r w:rsidR="000A012B" w:rsidRPr="000A012B">
              <w:rPr>
                <w:b/>
                <w:bCs/>
                <w:iCs/>
              </w:rPr>
              <w:t xml:space="preserve"> Košice</w:t>
            </w:r>
            <w:r w:rsidR="000A012B">
              <w:rPr>
                <w:b/>
                <w:bCs/>
                <w:iCs/>
              </w:rPr>
              <w:t>.</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na základe Rámcovej dohody č. 233</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Pr="00105158">
        <w:rPr>
          <w:b/>
          <w:bCs/>
          <w:iCs/>
        </w:rPr>
        <w:t>asť   3: CT prístroje 3. kategórie</w:t>
      </w:r>
    </w:p>
    <w:tbl>
      <w:tblPr>
        <w:tblStyle w:val="Tabukasmriekou1svetl"/>
        <w:tblW w:w="0" w:type="auto"/>
        <w:tblLayout w:type="fixed"/>
        <w:tblLook w:val="0000" w:firstRow="0" w:lastRow="0" w:firstColumn="0" w:lastColumn="0" w:noHBand="0" w:noVBand="0"/>
      </w:tblPr>
      <w:tblGrid>
        <w:gridCol w:w="7130"/>
        <w:gridCol w:w="1370"/>
      </w:tblGrid>
      <w:tr w:rsidR="000A012B" w:rsidTr="00CD3EC0">
        <w:trPr>
          <w:trHeight w:val="278"/>
        </w:trPr>
        <w:tc>
          <w:tcPr>
            <w:tcW w:w="7130" w:type="dxa"/>
          </w:tcPr>
          <w:p w:rsidR="000A012B" w:rsidRPr="00F94FAD" w:rsidRDefault="000A012B" w:rsidP="00CD3EC0">
            <w:pPr>
              <w:rPr>
                <w:b/>
                <w:bCs/>
                <w:color w:val="000000"/>
                <w:sz w:val="22"/>
                <w:szCs w:val="22"/>
                <w:lang w:eastAsia="en-US"/>
              </w:rPr>
            </w:pPr>
            <w:r w:rsidRPr="00F94FAD">
              <w:rPr>
                <w:b/>
                <w:bCs/>
                <w:color w:val="000000"/>
                <w:sz w:val="22"/>
                <w:szCs w:val="22"/>
                <w:lang w:eastAsia="en-US"/>
              </w:rPr>
              <w:t>Názov položky</w:t>
            </w:r>
          </w:p>
        </w:tc>
        <w:tc>
          <w:tcPr>
            <w:tcW w:w="1370" w:type="dxa"/>
          </w:tcPr>
          <w:p w:rsidR="000A012B" w:rsidRPr="00F94FAD" w:rsidRDefault="000A012B" w:rsidP="00CD3EC0">
            <w:pPr>
              <w:rPr>
                <w:b/>
                <w:bCs/>
                <w:color w:val="000000"/>
                <w:sz w:val="22"/>
                <w:szCs w:val="22"/>
                <w:lang w:eastAsia="en-US"/>
              </w:rPr>
            </w:pPr>
            <w:r w:rsidRPr="00F94FAD">
              <w:rPr>
                <w:b/>
                <w:bCs/>
                <w:color w:val="000000"/>
                <w:sz w:val="22"/>
                <w:szCs w:val="22"/>
                <w:lang w:eastAsia="en-US"/>
              </w:rPr>
              <w:t>Množstvo</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CT prístroj 3 kategórie s akvizičnou konzo</w:t>
            </w:r>
            <w:r>
              <w:rPr>
                <w:color w:val="000000"/>
                <w:sz w:val="22"/>
                <w:szCs w:val="22"/>
                <w:lang w:eastAsia="en-US"/>
              </w:rPr>
              <w:t>lou CT prístroja (Záručná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sidRPr="00F94FAD">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 xml:space="preserve">Software pre CT </w:t>
            </w:r>
            <w:proofErr w:type="spellStart"/>
            <w:r w:rsidRPr="00F94FAD">
              <w:rPr>
                <w:color w:val="000000"/>
                <w:sz w:val="22"/>
                <w:szCs w:val="22"/>
                <w:lang w:eastAsia="en-US"/>
              </w:rPr>
              <w:t>angiografiu</w:t>
            </w:r>
            <w:proofErr w:type="spellEnd"/>
            <w:r w:rsidRPr="00F94FAD">
              <w:rPr>
                <w:color w:val="000000"/>
                <w:sz w:val="22"/>
                <w:szCs w:val="22"/>
                <w:lang w:eastAsia="en-US"/>
              </w:rPr>
              <w:t xml:space="preserve"> : software  pre cievnu analýzu s automatickým vyhodnotením </w:t>
            </w:r>
            <w:proofErr w:type="spellStart"/>
            <w:r w:rsidRPr="00F94FAD">
              <w:rPr>
                <w:color w:val="000000"/>
                <w:sz w:val="22"/>
                <w:szCs w:val="22"/>
                <w:lang w:eastAsia="en-US"/>
              </w:rPr>
              <w:t>stenóz</w:t>
            </w:r>
            <w:proofErr w:type="spellEnd"/>
            <w:r w:rsidRPr="00F94FAD">
              <w:rPr>
                <w:color w:val="000000"/>
                <w:sz w:val="22"/>
                <w:szCs w:val="22"/>
                <w:lang w:eastAsia="en-US"/>
              </w:rPr>
              <w:t xml:space="preserve"> a aneuryziem s automatickým odstránením kostných štruktúr s minimálnymi možnosťami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Pr>
                <w:color w:val="000000"/>
                <w:sz w:val="22"/>
                <w:szCs w:val="22"/>
                <w:lang w:eastAsia="en-US"/>
              </w:rPr>
              <w:t>2</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 xml:space="preserve">Softvérové vybavenie pre vyšetrenie </w:t>
            </w:r>
            <w:proofErr w:type="spellStart"/>
            <w:r w:rsidRPr="00F94FAD">
              <w:rPr>
                <w:color w:val="000000"/>
                <w:sz w:val="22"/>
                <w:szCs w:val="22"/>
                <w:lang w:eastAsia="en-US"/>
              </w:rPr>
              <w:t>perfúzie</w:t>
            </w:r>
            <w:proofErr w:type="spellEnd"/>
            <w:r w:rsidRPr="00F94FAD">
              <w:rPr>
                <w:color w:val="000000"/>
                <w:sz w:val="22"/>
                <w:szCs w:val="22"/>
                <w:lang w:eastAsia="en-US"/>
              </w:rPr>
              <w:t xml:space="preserve"> mozgu s minimálnymi  možnosťami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 xml:space="preserve">Softwarové vybavenie pre vyšetrenie pomocou  virtuálnej </w:t>
            </w:r>
            <w:proofErr w:type="spellStart"/>
            <w:r w:rsidRPr="00F94FAD">
              <w:rPr>
                <w:color w:val="000000"/>
                <w:sz w:val="22"/>
                <w:szCs w:val="22"/>
                <w:lang w:eastAsia="en-US"/>
              </w:rPr>
              <w:t>kolonoskopie</w:t>
            </w:r>
            <w:proofErr w:type="spellEnd"/>
            <w:r w:rsidRPr="00F94FAD">
              <w:rPr>
                <w:color w:val="000000"/>
                <w:sz w:val="22"/>
                <w:szCs w:val="22"/>
                <w:lang w:eastAsia="en-US"/>
              </w:rPr>
              <w:t xml:space="preserve"> vrátane možností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34E6C">
              <w:rPr>
                <w:color w:val="000000"/>
                <w:sz w:val="22"/>
                <w:szCs w:val="22"/>
                <w:lang w:eastAsia="en-US"/>
              </w:rPr>
              <w:t>Onkologický software vrátane možnosti -  vyhodnocovanie sledovania veľkosti nádoru / metastáz</w:t>
            </w:r>
            <w:r>
              <w:rPr>
                <w:color w:val="000000"/>
                <w:sz w:val="22"/>
                <w:szCs w:val="22"/>
                <w:lang w:eastAsia="en-US"/>
              </w:rPr>
              <w:t xml:space="preserve"> (Záručná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 xml:space="preserve">Onkologický software vrátane možnosti -  vrátane vybavenia pre vyhľadávanie pľúcnych </w:t>
            </w:r>
            <w:proofErr w:type="spellStart"/>
            <w:r w:rsidRPr="00F94FAD">
              <w:rPr>
                <w:color w:val="000000"/>
                <w:sz w:val="22"/>
                <w:szCs w:val="22"/>
                <w:lang w:eastAsia="en-US"/>
              </w:rPr>
              <w:t>nodulov</w:t>
            </w:r>
            <w:proofErr w:type="spellEnd"/>
            <w:r w:rsidRPr="00F94FAD">
              <w:rPr>
                <w:color w:val="000000"/>
                <w:sz w:val="22"/>
                <w:szCs w:val="22"/>
                <w:lang w:eastAsia="en-US"/>
              </w:rPr>
              <w:t xml:space="preserve"> (alt. súčasťou softvéru pre vyhodnocovanie pľúcneho tkaniva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Default="000A012B" w:rsidP="00CD3EC0">
            <w:pPr>
              <w:jc w:val="right"/>
              <w:rPr>
                <w:color w:val="000000"/>
                <w:sz w:val="22"/>
                <w:szCs w:val="22"/>
                <w:lang w:eastAsia="en-US"/>
              </w:rPr>
            </w:pPr>
            <w:r>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34E6C">
              <w:rPr>
                <w:color w:val="000000"/>
                <w:sz w:val="22"/>
                <w:szCs w:val="22"/>
                <w:lang w:eastAsia="en-US"/>
              </w:rPr>
              <w:t xml:space="preserve">Software pre hodnotenie pľúcneho tkaniva, </w:t>
            </w:r>
            <w:proofErr w:type="spellStart"/>
            <w:r w:rsidRPr="00F34E6C">
              <w:rPr>
                <w:color w:val="000000"/>
                <w:sz w:val="22"/>
                <w:szCs w:val="22"/>
                <w:lang w:eastAsia="en-US"/>
              </w:rPr>
              <w:t>emfyzému</w:t>
            </w:r>
            <w:proofErr w:type="spellEnd"/>
            <w:r w:rsidRPr="00F34E6C">
              <w:rPr>
                <w:color w:val="000000"/>
                <w:sz w:val="22"/>
                <w:szCs w:val="22"/>
                <w:lang w:eastAsia="en-US"/>
              </w:rPr>
              <w:t xml:space="preserve"> pľúc, vrátane určovania hustoty tkaniva v</w:t>
            </w:r>
            <w:r>
              <w:rPr>
                <w:color w:val="000000"/>
                <w:sz w:val="22"/>
                <w:szCs w:val="22"/>
                <w:lang w:eastAsia="en-US"/>
              </w:rPr>
              <w:t> </w:t>
            </w:r>
            <w:r w:rsidRPr="00F34E6C">
              <w:rPr>
                <w:color w:val="000000"/>
                <w:sz w:val="22"/>
                <w:szCs w:val="22"/>
                <w:lang w:eastAsia="en-US"/>
              </w:rPr>
              <w:t>pľúcach</w:t>
            </w:r>
            <w:r>
              <w:rPr>
                <w:color w:val="000000"/>
                <w:sz w:val="22"/>
                <w:szCs w:val="22"/>
                <w:lang w:eastAsia="en-US"/>
              </w:rPr>
              <w:t xml:space="preserve"> (Záručná doba 8 rokov</w:t>
            </w:r>
            <w:r w:rsidRPr="00F94FAD">
              <w:rPr>
                <w:color w:val="000000"/>
                <w:sz w:val="22"/>
                <w:szCs w:val="22"/>
                <w:lang w:eastAsia="en-US"/>
              </w:rPr>
              <w:t>)</w:t>
            </w:r>
          </w:p>
        </w:tc>
        <w:tc>
          <w:tcPr>
            <w:tcW w:w="1370" w:type="dxa"/>
          </w:tcPr>
          <w:p w:rsidR="000A012B" w:rsidRDefault="000A012B" w:rsidP="00CD3EC0">
            <w:pPr>
              <w:jc w:val="right"/>
              <w:rPr>
                <w:color w:val="000000"/>
                <w:sz w:val="22"/>
                <w:szCs w:val="22"/>
                <w:lang w:eastAsia="en-US"/>
              </w:rPr>
            </w:pPr>
            <w:r>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 xml:space="preserve">Software pre vyhodnotenie pečene a lalokových lézií, vrátane automatickej segmentácie lalokov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 xml:space="preserve">Software pre </w:t>
            </w:r>
            <w:proofErr w:type="spellStart"/>
            <w:r w:rsidRPr="00F94FAD">
              <w:rPr>
                <w:color w:val="000000"/>
                <w:sz w:val="22"/>
                <w:szCs w:val="22"/>
                <w:lang w:eastAsia="en-US"/>
              </w:rPr>
              <w:t>fluoroskopiu</w:t>
            </w:r>
            <w:proofErr w:type="spellEnd"/>
            <w:r w:rsidRPr="00F94FAD">
              <w:rPr>
                <w:color w:val="000000"/>
                <w:sz w:val="22"/>
                <w:szCs w:val="22"/>
                <w:lang w:eastAsia="en-US"/>
              </w:rPr>
              <w:t xml:space="preserve">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sidRPr="00F94FAD">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 xml:space="preserve">Ortopedický software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sidRPr="00F94FAD">
              <w:rPr>
                <w:color w:val="000000"/>
                <w:sz w:val="22"/>
                <w:szCs w:val="22"/>
                <w:lang w:eastAsia="en-US"/>
              </w:rPr>
              <w:t>1</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94FAD">
              <w:rPr>
                <w:color w:val="000000"/>
                <w:sz w:val="22"/>
                <w:szCs w:val="22"/>
                <w:lang w:eastAsia="en-US"/>
              </w:rPr>
              <w:t>Hardwarové vybavenie post-</w:t>
            </w:r>
            <w:proofErr w:type="spellStart"/>
            <w:r w:rsidRPr="00F94FAD">
              <w:rPr>
                <w:color w:val="000000"/>
                <w:sz w:val="22"/>
                <w:szCs w:val="22"/>
                <w:lang w:eastAsia="en-US"/>
              </w:rPr>
              <w:t>processingových</w:t>
            </w:r>
            <w:proofErr w:type="spellEnd"/>
            <w:r w:rsidRPr="00F94FAD">
              <w:rPr>
                <w:color w:val="000000"/>
                <w:sz w:val="22"/>
                <w:szCs w:val="22"/>
                <w:lang w:eastAsia="en-US"/>
              </w:rPr>
              <w:t xml:space="preserve"> staníc </w:t>
            </w:r>
            <w:r>
              <w:rPr>
                <w:color w:val="000000"/>
                <w:sz w:val="22"/>
                <w:szCs w:val="22"/>
                <w:lang w:eastAsia="en-US"/>
              </w:rPr>
              <w:t>(Záručná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Pr>
                <w:color w:val="000000"/>
                <w:sz w:val="22"/>
                <w:szCs w:val="22"/>
                <w:lang w:eastAsia="en-US"/>
              </w:rPr>
              <w:t>3</w:t>
            </w:r>
          </w:p>
        </w:tc>
      </w:tr>
      <w:tr w:rsidR="000A012B" w:rsidTr="00CD3EC0">
        <w:trPr>
          <w:trHeight w:val="274"/>
        </w:trPr>
        <w:tc>
          <w:tcPr>
            <w:tcW w:w="7130" w:type="dxa"/>
          </w:tcPr>
          <w:p w:rsidR="000A012B" w:rsidRDefault="000A012B" w:rsidP="00CD3EC0">
            <w:pPr>
              <w:rPr>
                <w:color w:val="000000"/>
                <w:sz w:val="22"/>
                <w:szCs w:val="22"/>
                <w:lang w:eastAsia="en-US"/>
              </w:rPr>
            </w:pPr>
            <w:r w:rsidRPr="00F34E6C">
              <w:rPr>
                <w:color w:val="000000"/>
                <w:sz w:val="22"/>
                <w:szCs w:val="22"/>
                <w:lang w:eastAsia="en-US"/>
              </w:rPr>
              <w:t>1 ks diagnostických, certifikovaných monitorov s uhlopriečkou 2</w:t>
            </w:r>
            <w:r>
              <w:rPr>
                <w:color w:val="000000"/>
                <w:sz w:val="22"/>
                <w:szCs w:val="22"/>
                <w:lang w:eastAsia="en-US"/>
              </w:rPr>
              <w:t>1</w:t>
            </w:r>
            <w:r w:rsidRPr="00F34E6C">
              <w:rPr>
                <w:color w:val="000000"/>
                <w:sz w:val="22"/>
                <w:szCs w:val="22"/>
                <w:lang w:eastAsia="en-US"/>
              </w:rPr>
              <w:t>“</w:t>
            </w:r>
          </w:p>
          <w:p w:rsidR="000A012B" w:rsidRPr="00F94FAD" w:rsidRDefault="000A012B" w:rsidP="00CD3EC0">
            <w:pPr>
              <w:rPr>
                <w:color w:val="000000"/>
                <w:sz w:val="22"/>
                <w:szCs w:val="22"/>
                <w:lang w:eastAsia="en-US"/>
              </w:rPr>
            </w:pPr>
            <w:r>
              <w:rPr>
                <w:color w:val="000000"/>
                <w:sz w:val="22"/>
                <w:szCs w:val="22"/>
                <w:lang w:eastAsia="en-US"/>
              </w:rPr>
              <w:t>(Záručná doba 8 rokov</w:t>
            </w:r>
            <w:r w:rsidRPr="00F94FAD">
              <w:rPr>
                <w:color w:val="000000"/>
                <w:sz w:val="22"/>
                <w:szCs w:val="22"/>
                <w:lang w:eastAsia="en-US"/>
              </w:rPr>
              <w:t>)</w:t>
            </w:r>
          </w:p>
        </w:tc>
        <w:tc>
          <w:tcPr>
            <w:tcW w:w="1370" w:type="dxa"/>
          </w:tcPr>
          <w:p w:rsidR="000A012B" w:rsidRDefault="000A012B" w:rsidP="00CD3EC0">
            <w:pPr>
              <w:jc w:val="right"/>
              <w:rPr>
                <w:color w:val="000000"/>
                <w:sz w:val="22"/>
                <w:szCs w:val="22"/>
                <w:lang w:eastAsia="en-US"/>
              </w:rPr>
            </w:pPr>
            <w:r>
              <w:rPr>
                <w:color w:val="000000"/>
                <w:sz w:val="22"/>
                <w:szCs w:val="22"/>
                <w:lang w:eastAsia="en-US"/>
              </w:rPr>
              <w:t>6</w:t>
            </w:r>
          </w:p>
        </w:tc>
      </w:tr>
      <w:tr w:rsidR="000A012B" w:rsidTr="00CD3EC0">
        <w:trPr>
          <w:trHeight w:val="274"/>
        </w:trPr>
        <w:tc>
          <w:tcPr>
            <w:tcW w:w="7130" w:type="dxa"/>
          </w:tcPr>
          <w:p w:rsidR="000A012B" w:rsidRPr="00F94FAD" w:rsidRDefault="000A012B" w:rsidP="00CD3EC0">
            <w:pPr>
              <w:rPr>
                <w:color w:val="000000"/>
                <w:sz w:val="22"/>
                <w:szCs w:val="22"/>
                <w:lang w:eastAsia="en-US"/>
              </w:rPr>
            </w:pPr>
            <w:r w:rsidRPr="00F34E6C">
              <w:rPr>
                <w:color w:val="000000"/>
                <w:sz w:val="22"/>
                <w:szCs w:val="22"/>
                <w:lang w:eastAsia="en-US"/>
              </w:rPr>
              <w:t>1 ks monitorov s uhlopriečkou 21“ pre prácu v</w:t>
            </w:r>
            <w:r>
              <w:rPr>
                <w:color w:val="000000"/>
                <w:sz w:val="22"/>
                <w:szCs w:val="22"/>
                <w:lang w:eastAsia="en-US"/>
              </w:rPr>
              <w:t> </w:t>
            </w:r>
            <w:r w:rsidRPr="00F34E6C">
              <w:rPr>
                <w:color w:val="000000"/>
                <w:sz w:val="22"/>
                <w:szCs w:val="22"/>
                <w:lang w:eastAsia="en-US"/>
              </w:rPr>
              <w:t>NIS</w:t>
            </w:r>
            <w:r>
              <w:rPr>
                <w:color w:val="000000"/>
                <w:sz w:val="22"/>
                <w:szCs w:val="22"/>
                <w:lang w:eastAsia="en-US"/>
              </w:rPr>
              <w:t xml:space="preserve"> (Záručná doba 8 rokov</w:t>
            </w:r>
            <w:r w:rsidRPr="00F94FAD">
              <w:rPr>
                <w:color w:val="000000"/>
                <w:sz w:val="22"/>
                <w:szCs w:val="22"/>
                <w:lang w:eastAsia="en-US"/>
              </w:rPr>
              <w:t>)</w:t>
            </w:r>
          </w:p>
        </w:tc>
        <w:tc>
          <w:tcPr>
            <w:tcW w:w="1370" w:type="dxa"/>
          </w:tcPr>
          <w:p w:rsidR="000A012B" w:rsidRPr="00F94FAD" w:rsidRDefault="000A012B" w:rsidP="00CD3EC0">
            <w:pPr>
              <w:jc w:val="right"/>
              <w:rPr>
                <w:color w:val="000000"/>
                <w:sz w:val="22"/>
                <w:szCs w:val="22"/>
                <w:lang w:eastAsia="en-US"/>
              </w:rPr>
            </w:pPr>
            <w:r>
              <w:rPr>
                <w:color w:val="000000"/>
                <w:sz w:val="22"/>
                <w:szCs w:val="22"/>
                <w:lang w:eastAsia="en-US"/>
              </w:rPr>
              <w:t>3</w:t>
            </w:r>
          </w:p>
        </w:tc>
      </w:tr>
    </w:tbl>
    <w:p w:rsidR="00105158" w:rsidRDefault="00105158"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D26106" w:rsidRDefault="000A012B" w:rsidP="000A012B">
            <w:pPr>
              <w:jc w:val="center"/>
              <w:rPr>
                <w:rFonts w:asciiTheme="minorHAnsi" w:hAnsiTheme="minorHAnsi" w:cstheme="minorHAnsi"/>
                <w:sz w:val="22"/>
                <w:szCs w:val="22"/>
              </w:rPr>
            </w:pPr>
            <w:r w:rsidRPr="00D26106">
              <w:rPr>
                <w:rFonts w:asciiTheme="minorHAnsi" w:hAnsiTheme="minorHAnsi" w:cstheme="minorHAnsi"/>
                <w:sz w:val="22"/>
                <w:szCs w:val="22"/>
              </w:rPr>
              <w:t xml:space="preserve">S&amp;T Slovakia </w:t>
            </w:r>
            <w:proofErr w:type="spellStart"/>
            <w:r w:rsidRPr="00D26106">
              <w:rPr>
                <w:rFonts w:asciiTheme="minorHAnsi" w:hAnsiTheme="minorHAnsi" w:cstheme="minorHAnsi"/>
                <w:sz w:val="22"/>
                <w:szCs w:val="22"/>
              </w:rPr>
              <w:t>s.r.o</w:t>
            </w:r>
            <w:proofErr w:type="spellEnd"/>
            <w:r w:rsidRPr="00D26106">
              <w:rPr>
                <w:rFonts w:asciiTheme="minorHAnsi" w:hAnsiTheme="minorHAnsi" w:cstheme="minorHAnsi"/>
                <w:sz w:val="22"/>
                <w:szCs w:val="22"/>
              </w:rPr>
              <w:t>.</w:t>
            </w:r>
            <w:r w:rsidR="00105158" w:rsidRPr="00D26106">
              <w:rPr>
                <w:rFonts w:asciiTheme="minorHAnsi" w:hAnsiTheme="minorHAnsi" w:cstheme="minorHAnsi"/>
                <w:sz w:val="22"/>
                <w:szCs w:val="22"/>
              </w:rPr>
              <w:t xml:space="preserve"> </w:t>
            </w:r>
          </w:p>
        </w:tc>
        <w:tc>
          <w:tcPr>
            <w:tcW w:w="4536" w:type="dxa"/>
            <w:vAlign w:val="center"/>
          </w:tcPr>
          <w:p w:rsidR="00105158" w:rsidRPr="00D26106" w:rsidRDefault="007E432A" w:rsidP="00105158">
            <w:pPr>
              <w:jc w:val="center"/>
              <w:rPr>
                <w:rFonts w:asciiTheme="minorHAnsi" w:hAnsiTheme="minorHAnsi" w:cstheme="minorHAnsi"/>
                <w:sz w:val="22"/>
                <w:szCs w:val="22"/>
              </w:rPr>
            </w:pPr>
            <w:r>
              <w:rPr>
                <w:rFonts w:asciiTheme="minorHAnsi" w:hAnsiTheme="minorHAnsi" w:cstheme="minorHAnsi"/>
                <w:sz w:val="22"/>
                <w:szCs w:val="22"/>
              </w:rPr>
              <w:t>9</w:t>
            </w:r>
            <w:r w:rsidR="000A012B">
              <w:rPr>
                <w:rFonts w:asciiTheme="minorHAnsi" w:hAnsiTheme="minorHAnsi" w:cstheme="minorHAnsi"/>
                <w:sz w:val="22"/>
                <w:szCs w:val="22"/>
              </w:rPr>
              <w:t>88 020,0</w:t>
            </w:r>
            <w:r>
              <w:rPr>
                <w:rFonts w:asciiTheme="minorHAnsi" w:hAnsiTheme="minorHAnsi" w:cstheme="minorHAnsi"/>
                <w:sz w:val="22"/>
                <w:szCs w:val="22"/>
              </w:rPr>
              <w:t>0</w:t>
            </w:r>
            <w:r w:rsidR="00461FF6"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D26106" w:rsidRDefault="000A012B" w:rsidP="00105158">
            <w:pPr>
              <w:jc w:val="center"/>
              <w:rPr>
                <w:rFonts w:asciiTheme="minorHAnsi" w:hAnsiTheme="minorHAnsi" w:cstheme="minorHAnsi"/>
                <w:sz w:val="22"/>
                <w:szCs w:val="22"/>
              </w:rPr>
            </w:pPr>
            <w:r w:rsidRPr="00D26106">
              <w:rPr>
                <w:rFonts w:asciiTheme="minorHAnsi" w:hAnsiTheme="minorHAnsi" w:cstheme="minorHAnsi"/>
                <w:sz w:val="22"/>
                <w:szCs w:val="22"/>
              </w:rPr>
              <w:t xml:space="preserve">Siemens </w:t>
            </w:r>
            <w:proofErr w:type="spellStart"/>
            <w:r w:rsidRPr="00D26106">
              <w:rPr>
                <w:rFonts w:asciiTheme="minorHAnsi" w:hAnsiTheme="minorHAnsi" w:cstheme="minorHAnsi"/>
                <w:sz w:val="22"/>
                <w:szCs w:val="22"/>
              </w:rPr>
              <w:t>Healthcare</w:t>
            </w:r>
            <w:proofErr w:type="spellEnd"/>
            <w:r w:rsidRPr="00D26106">
              <w:rPr>
                <w:rFonts w:asciiTheme="minorHAnsi" w:hAnsiTheme="minorHAnsi" w:cstheme="minorHAnsi"/>
                <w:sz w:val="22"/>
                <w:szCs w:val="22"/>
              </w:rPr>
              <w:t xml:space="preserve">  </w:t>
            </w:r>
          </w:p>
        </w:tc>
        <w:tc>
          <w:tcPr>
            <w:tcW w:w="4536" w:type="dxa"/>
            <w:vAlign w:val="center"/>
          </w:tcPr>
          <w:p w:rsidR="00105158" w:rsidRPr="00D26106" w:rsidRDefault="000A012B" w:rsidP="00105158">
            <w:pPr>
              <w:jc w:val="center"/>
              <w:rPr>
                <w:rFonts w:asciiTheme="minorHAnsi" w:hAnsiTheme="minorHAnsi" w:cstheme="minorHAnsi"/>
                <w:sz w:val="22"/>
                <w:szCs w:val="22"/>
              </w:rPr>
            </w:pPr>
            <w:r>
              <w:rPr>
                <w:rFonts w:asciiTheme="minorHAnsi" w:hAnsiTheme="minorHAnsi" w:cstheme="minorHAnsi"/>
                <w:sz w:val="22"/>
                <w:szCs w:val="22"/>
              </w:rPr>
              <w:t>989 991,2</w:t>
            </w:r>
            <w:r w:rsidR="007E432A">
              <w:rPr>
                <w:rFonts w:asciiTheme="minorHAnsi" w:hAnsiTheme="minorHAnsi" w:cstheme="minorHAnsi"/>
                <w:sz w:val="22"/>
                <w:szCs w:val="22"/>
              </w:rPr>
              <w:t xml:space="preserve">0 </w:t>
            </w:r>
            <w:r w:rsidR="00461FF6" w:rsidRPr="00D26106">
              <w:rPr>
                <w:rFonts w:asciiTheme="minorHAnsi" w:hAnsiTheme="minorHAnsi" w:cstheme="minorHAnsi"/>
                <w:sz w:val="22"/>
                <w:szCs w:val="22"/>
              </w:rPr>
              <w:t>EUR s DPH</w:t>
            </w:r>
          </w:p>
        </w:tc>
      </w:tr>
    </w:tbl>
    <w:p w:rsidR="00105158" w:rsidRPr="00105158" w:rsidRDefault="00105158" w:rsidP="00105158">
      <w:pPr>
        <w:rPr>
          <w:b/>
          <w:bCs/>
          <w:iCs/>
        </w:rPr>
      </w:pPr>
    </w:p>
    <w:p w:rsidR="00100614" w:rsidRDefault="00105158" w:rsidP="006841EF">
      <w:pPr>
        <w:jc w:val="both"/>
        <w:rPr>
          <w:bCs/>
        </w:rPr>
      </w:pPr>
      <w:r w:rsidRPr="00105158">
        <w:rPr>
          <w:u w:val="single"/>
        </w:rPr>
        <w:t>Odôvodnenie:</w:t>
      </w:r>
      <w:r w:rsidR="00461FF6">
        <w:t xml:space="preserve"> Na základe ponúk</w:t>
      </w:r>
      <w:r w:rsidRPr="00105158">
        <w:t xml:space="preserve"> uchádzačov </w:t>
      </w:r>
      <w:r>
        <w:t xml:space="preserve">po elektronickej aukcií </w:t>
      </w:r>
      <w:r w:rsidR="000A012B">
        <w:t>zo dňa 11.10.2018</w:t>
      </w:r>
      <w:r w:rsidR="00461FF6">
        <w:t xml:space="preserve"> </w:t>
      </w:r>
      <w:r>
        <w:t>bolo zostavené poradie uchádzačov.</w:t>
      </w:r>
      <w:r w:rsidR="00461FF6">
        <w:t xml:space="preserve"> </w:t>
      </w:r>
      <w:r w:rsidR="00461FF6">
        <w:rPr>
          <w:bCs/>
        </w:rPr>
        <w:t xml:space="preserve">Ak uchádzač, ktorý sa umiestnil ako prvý v poradí odmietne </w:t>
      </w:r>
      <w:r w:rsidR="00461FF6">
        <w:rPr>
          <w:bCs/>
        </w:rPr>
        <w:lastRenderedPageBreak/>
        <w:t>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w:t>
      </w:r>
      <w:r w:rsidR="000A012B">
        <w:rPr>
          <w:bCs/>
        </w:rPr>
        <w:t xml:space="preserve"> uchádzačom, ktorí sa umiestnil</w:t>
      </w:r>
      <w:bookmarkStart w:id="0" w:name="_GoBack"/>
      <w:bookmarkEnd w:id="0"/>
      <w:r w:rsidR="00461FF6">
        <w:rPr>
          <w:bCs/>
        </w:rPr>
        <w:t xml:space="preserve"> ako druhí v poradí.</w:t>
      </w:r>
    </w:p>
    <w:p w:rsidR="000A012B" w:rsidRDefault="000A012B" w:rsidP="006841EF">
      <w:pPr>
        <w:jc w:val="both"/>
        <w:rPr>
          <w:bCs/>
        </w:rPr>
      </w:pPr>
    </w:p>
    <w:p w:rsidR="000A012B" w:rsidRPr="00105158" w:rsidRDefault="000A012B" w:rsidP="006841EF">
      <w:pPr>
        <w:jc w:val="both"/>
        <w:rPr>
          <w:u w:val="single"/>
        </w:rPr>
      </w:pPr>
      <w:r w:rsidRPr="000A012B">
        <w:rPr>
          <w:u w:val="single"/>
        </w:rPr>
        <w:t>Dotknuté osoby, ktorých práva alebo právom chránené záujmy mohli byť konaním verejného obstarávateľa dotknuté, majú právo podať námietku v súlade s § 170 zákona o verejnom obstarávaní v lehote 10 dní odo dňa zverejnenia tejto informácie.</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012B"/>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E432A"/>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44F78"/>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424</Words>
  <Characters>2571</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8</cp:revision>
  <cp:lastPrinted>2016-06-07T13:10:00Z</cp:lastPrinted>
  <dcterms:created xsi:type="dcterms:W3CDTF">2017-04-28T13:11:00Z</dcterms:created>
  <dcterms:modified xsi:type="dcterms:W3CDTF">2018-10-22T10:45:00Z</dcterms:modified>
</cp:coreProperties>
</file>