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Mgr. Attila Agócs</w:t>
      </w:r>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a.s.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2D2CB87F"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 SO.03 Výrobná oceľová hala, 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0276B780" w:rsidR="00E55DB4" w:rsidRPr="0080087C" w:rsidRDefault="00E55DB4" w:rsidP="003C6802">
      <w:pPr>
        <w:pStyle w:val="Bezriadkovania"/>
        <w:shd w:val="clear" w:color="auto" w:fill="FFCCFF"/>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Východiskové podklady k vykonaniu diela sa objednávateľ zaväzuje odovzdať zhotoviteľovi </w:t>
      </w:r>
      <w:r w:rsidR="006449D3" w:rsidRPr="003C6802">
        <w:rPr>
          <w:rFonts w:ascii="Times New Roman" w:hAnsi="Times New Roman" w:cs="Times New Roman"/>
          <w:shd w:val="clear" w:color="auto" w:fill="FFCCFF"/>
        </w:rPr>
        <w:t xml:space="preserve">do 4 kalendárnych dní odo dňa podpisu Zmluvy o dielo </w:t>
      </w:r>
      <w:r w:rsidRPr="0080087C">
        <w:rPr>
          <w:rFonts w:ascii="Times New Roman" w:hAnsi="Times New Roman" w:cs="Times New Roman"/>
        </w:rPr>
        <w:t>v rozsahu:</w:t>
      </w:r>
    </w:p>
    <w:p w14:paraId="6E356A41"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prospech účtu písomne oznámenému najmenej 5 dní pred doručením faktúry, ktorej úhrada má byť vykonaná na nový účet zhotoviteľa. </w:t>
      </w:r>
    </w:p>
    <w:p w14:paraId="2FD7A11D" w14:textId="77777777" w:rsidR="00BD55C4" w:rsidRPr="0080087C" w:rsidRDefault="00BD55C4" w:rsidP="00BD55C4">
      <w:pPr>
        <w:pStyle w:val="Bezriadkovania"/>
        <w:rPr>
          <w:rFonts w:ascii="Times New Roman" w:hAnsi="Times New Roman" w:cs="Times New Roman"/>
        </w:rPr>
      </w:pPr>
    </w:p>
    <w:p w14:paraId="7E4C9D63" w14:textId="212A5AC3" w:rsidR="00BD55C4" w:rsidRPr="005479D6" w:rsidRDefault="00BD55C4" w:rsidP="00834015">
      <w:pPr>
        <w:pStyle w:val="Bezriadkovania"/>
        <w:jc w:val="both"/>
        <w:rPr>
          <w:rFonts w:ascii="Times New Roman" w:hAnsi="Times New Roman" w:cs="Times New Roman"/>
          <w:highlight w:val="cyan"/>
        </w:rPr>
      </w:pPr>
      <w:r w:rsidRPr="005479D6">
        <w:rPr>
          <w:rFonts w:ascii="Times New Roman" w:hAnsi="Times New Roman" w:cs="Times New Roman"/>
          <w:b/>
          <w:highlight w:val="cyan"/>
        </w:rPr>
        <w:t xml:space="preserve">10. </w:t>
      </w:r>
      <w:r w:rsidRPr="005479D6">
        <w:rPr>
          <w:rFonts w:ascii="Times New Roman" w:hAnsi="Times New Roman" w:cs="Times New Roman"/>
          <w:highlight w:val="cyan"/>
        </w:rPr>
        <w:t xml:space="preserve">Zhotoviteľ prostredníctvom banky poskytne objednávateľovi </w:t>
      </w:r>
      <w:r w:rsidR="00436BC2" w:rsidRPr="007C275C">
        <w:rPr>
          <w:rFonts w:ascii="Times New Roman" w:hAnsi="Times New Roman" w:cs="Times New Roman"/>
          <w:shd w:val="clear" w:color="auto" w:fill="FFCCFF"/>
        </w:rPr>
        <w:t>najneskôr v lehote do 7 kalendárnych dní od nadobudnutia účinnosti tejto zmluvy o</w:t>
      </w:r>
      <w:r w:rsidR="003C6802" w:rsidRPr="007C275C">
        <w:rPr>
          <w:rFonts w:ascii="Times New Roman" w:hAnsi="Times New Roman" w:cs="Times New Roman"/>
          <w:shd w:val="clear" w:color="auto" w:fill="FFCCFF"/>
        </w:rPr>
        <w:t> </w:t>
      </w:r>
      <w:r w:rsidR="00436BC2" w:rsidRPr="007C275C">
        <w:rPr>
          <w:rFonts w:ascii="Times New Roman" w:hAnsi="Times New Roman" w:cs="Times New Roman"/>
          <w:shd w:val="clear" w:color="auto" w:fill="FFCCFF"/>
        </w:rPr>
        <w:t>dielo</w:t>
      </w:r>
      <w:r w:rsidR="003C6802" w:rsidRPr="007C275C">
        <w:rPr>
          <w:rFonts w:ascii="Times New Roman" w:hAnsi="Times New Roman" w:cs="Times New Roman"/>
          <w:shd w:val="clear" w:color="auto" w:fill="FFCCFF"/>
        </w:rPr>
        <w:t xml:space="preserve"> </w:t>
      </w:r>
      <w:r w:rsidRPr="005479D6">
        <w:rPr>
          <w:rFonts w:ascii="Times New Roman" w:hAnsi="Times New Roman" w:cs="Times New Roman"/>
          <w:b/>
          <w:highlight w:val="cyan"/>
        </w:rPr>
        <w:t xml:space="preserve">bankovú záruku </w:t>
      </w:r>
      <w:r w:rsidR="00CB2137" w:rsidRPr="005479D6">
        <w:rPr>
          <w:rFonts w:ascii="Times New Roman" w:hAnsi="Times New Roman" w:cs="Times New Roman"/>
          <w:b/>
          <w:highlight w:val="cyan"/>
        </w:rPr>
        <w:t xml:space="preserve">alebo záruku poistenia </w:t>
      </w:r>
      <w:r w:rsidRPr="005479D6">
        <w:rPr>
          <w:rFonts w:ascii="Times New Roman" w:hAnsi="Times New Roman" w:cs="Times New Roman"/>
          <w:b/>
          <w:highlight w:val="cyan"/>
        </w:rPr>
        <w:t xml:space="preserve">– </w:t>
      </w:r>
      <w:proofErr w:type="spellStart"/>
      <w:r w:rsidRPr="005479D6">
        <w:rPr>
          <w:rFonts w:ascii="Times New Roman" w:hAnsi="Times New Roman" w:cs="Times New Roman"/>
          <w:b/>
          <w:highlight w:val="cyan"/>
        </w:rPr>
        <w:t>Performancebond</w:t>
      </w:r>
      <w:proofErr w:type="spellEnd"/>
      <w:r w:rsidRPr="005479D6">
        <w:rPr>
          <w:rFonts w:ascii="Times New Roman" w:hAnsi="Times New Roman" w:cs="Times New Roman"/>
          <w:b/>
          <w:highlight w:val="cyan"/>
        </w:rPr>
        <w:t xml:space="preserve"> (výkonovú záruku) vo výške 10 %  ceny diela s DPH</w:t>
      </w:r>
      <w:r w:rsidRPr="005479D6">
        <w:rPr>
          <w:rFonts w:ascii="Times New Roman" w:hAnsi="Times New Roman" w:cs="Times New Roman"/>
          <w:highlight w:val="cyan"/>
        </w:rPr>
        <w:t xml:space="preserve"> na zabezpečenie splnenia všetkých peňažných záväzkov zhotoviteľa, ktoré mu voči objednávateľovi vzniknú v zmysle tejto zmluvy, ktorá bude </w:t>
      </w:r>
      <w:r w:rsidRPr="005479D6">
        <w:rPr>
          <w:rFonts w:ascii="Times New Roman" w:hAnsi="Times New Roman" w:cs="Times New Roman"/>
          <w:b/>
          <w:highlight w:val="cyan"/>
        </w:rPr>
        <w:t>prílohou č. 4</w:t>
      </w:r>
      <w:r w:rsidRPr="005479D6">
        <w:rPr>
          <w:rFonts w:ascii="Times New Roman" w:hAnsi="Times New Roman" w:cs="Times New Roman"/>
          <w:highlight w:val="cyan"/>
        </w:rPr>
        <w:t xml:space="preserve"> tejto zmluvy. Zhotoviteľ sa zaväzuje v bankovej záruke </w:t>
      </w:r>
      <w:r w:rsidR="00CB2137" w:rsidRPr="005479D6">
        <w:rPr>
          <w:rFonts w:ascii="Times New Roman" w:hAnsi="Times New Roman" w:cs="Times New Roman"/>
          <w:highlight w:val="cyan"/>
        </w:rPr>
        <w:t xml:space="preserve">alebo v záruke poistenia </w:t>
      </w:r>
      <w:r w:rsidRPr="005479D6">
        <w:rPr>
          <w:rFonts w:ascii="Times New Roman" w:hAnsi="Times New Roman" w:cs="Times New Roman"/>
          <w:highlight w:val="cyan"/>
        </w:rPr>
        <w:t>dodržať tieto podmienky:</w:t>
      </w:r>
    </w:p>
    <w:p w14:paraId="5C3EE695" w14:textId="63D2D3AB" w:rsidR="00BD55C4" w:rsidRPr="005479D6" w:rsidRDefault="00BD55C4" w:rsidP="00834015">
      <w:pPr>
        <w:pStyle w:val="Bezriadkovania"/>
        <w:jc w:val="both"/>
        <w:rPr>
          <w:rFonts w:ascii="Times New Roman" w:hAnsi="Times New Roman" w:cs="Times New Roman"/>
          <w:highlight w:val="cyan"/>
        </w:rPr>
      </w:pPr>
      <w:r w:rsidRPr="005479D6">
        <w:rPr>
          <w:rFonts w:ascii="Times New Roman" w:hAnsi="Times New Roman" w:cs="Times New Roman"/>
          <w:highlight w:val="cyan"/>
        </w:rPr>
        <w:t>a) banková záruka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5479D6" w:rsidRDefault="00BD55C4" w:rsidP="00CB2137">
      <w:pPr>
        <w:pStyle w:val="Bezriadkovania"/>
        <w:jc w:val="both"/>
        <w:rPr>
          <w:rFonts w:ascii="Times New Roman" w:hAnsi="Times New Roman" w:cs="Times New Roman"/>
          <w:highlight w:val="cyan"/>
        </w:rPr>
      </w:pPr>
      <w:r w:rsidRPr="005479D6">
        <w:rPr>
          <w:rFonts w:ascii="Times New Roman" w:hAnsi="Times New Roman" w:cs="Times New Roman"/>
          <w:highlight w:val="cyan"/>
        </w:rPr>
        <w:t>b) banková záruka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je neodvolateľná a banka z nej poskytne plnenie na prvú výzvu objednávateľa,</w:t>
      </w:r>
    </w:p>
    <w:p w14:paraId="59420772" w14:textId="1DCA3530" w:rsidR="00BD55C4" w:rsidRPr="005479D6" w:rsidRDefault="00BD55C4" w:rsidP="00BD55C4">
      <w:pPr>
        <w:pStyle w:val="Bezriadkovania"/>
        <w:jc w:val="both"/>
        <w:rPr>
          <w:rFonts w:ascii="Times New Roman" w:hAnsi="Times New Roman" w:cs="Times New Roman"/>
          <w:highlight w:val="cyan"/>
        </w:rPr>
      </w:pPr>
      <w:r w:rsidRPr="005479D6">
        <w:rPr>
          <w:rFonts w:ascii="Times New Roman" w:hAnsi="Times New Roman" w:cs="Times New Roman"/>
          <w:highlight w:val="cyan"/>
        </w:rPr>
        <w:t>c) banka poskytne objednávateľovi plnenie z bankovej záruky</w:t>
      </w:r>
      <w:r w:rsidR="00CB2137" w:rsidRPr="005479D6">
        <w:rPr>
          <w:rFonts w:ascii="Times New Roman" w:hAnsi="Times New Roman" w:cs="Times New Roman"/>
          <w:highlight w:val="cyan"/>
        </w:rPr>
        <w:t>/ zo záruky poistenia</w:t>
      </w:r>
      <w:r w:rsidRPr="005479D6">
        <w:rPr>
          <w:rFonts w:ascii="Times New Roman" w:hAnsi="Times New Roman" w:cs="Times New Roman"/>
          <w:highlight w:val="cyan"/>
        </w:rPr>
        <w:t xml:space="preserve"> po tom, ako jej predloží výzvu objednávateľa adresovanú banke na plnenie z bankovej záruky</w:t>
      </w:r>
      <w:r w:rsidR="00CB2137" w:rsidRPr="005479D6">
        <w:rPr>
          <w:rFonts w:ascii="Times New Roman" w:hAnsi="Times New Roman" w:cs="Times New Roman"/>
          <w:highlight w:val="cyan"/>
        </w:rPr>
        <w:t>/ zo záruky poistenia</w:t>
      </w:r>
      <w:r w:rsidRPr="005479D6">
        <w:rPr>
          <w:rFonts w:ascii="Times New Roman" w:hAnsi="Times New Roman" w:cs="Times New Roman"/>
          <w:highlight w:val="cy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2C2FFB52" w:rsidR="00BD55C4" w:rsidRPr="005479D6" w:rsidRDefault="00BD55C4" w:rsidP="00BD55C4">
      <w:pPr>
        <w:pStyle w:val="Bezriadkovania"/>
        <w:tabs>
          <w:tab w:val="left" w:pos="2127"/>
        </w:tabs>
        <w:jc w:val="both"/>
        <w:rPr>
          <w:rFonts w:ascii="Times New Roman" w:hAnsi="Times New Roman" w:cs="Times New Roman"/>
          <w:b/>
          <w:highlight w:val="cyan"/>
        </w:rPr>
      </w:pPr>
      <w:r w:rsidRPr="005479D6">
        <w:rPr>
          <w:rFonts w:ascii="Times New Roman" w:hAnsi="Times New Roman" w:cs="Times New Roman"/>
          <w:highlight w:val="cyan"/>
        </w:rPr>
        <w:t>d) bankov</w:t>
      </w:r>
      <w:r w:rsidR="008F38D1" w:rsidRPr="005479D6">
        <w:rPr>
          <w:rFonts w:ascii="Times New Roman" w:hAnsi="Times New Roman" w:cs="Times New Roman"/>
          <w:highlight w:val="cyan"/>
        </w:rPr>
        <w:t>á</w:t>
      </w:r>
      <w:r w:rsidRPr="005479D6">
        <w:rPr>
          <w:rFonts w:ascii="Times New Roman" w:hAnsi="Times New Roman" w:cs="Times New Roman"/>
          <w:highlight w:val="cyan"/>
        </w:rPr>
        <w:t xml:space="preserve"> záruk</w:t>
      </w:r>
      <w:r w:rsidR="008F38D1" w:rsidRPr="005479D6">
        <w:rPr>
          <w:rFonts w:ascii="Times New Roman" w:hAnsi="Times New Roman" w:cs="Times New Roman"/>
          <w:highlight w:val="cyan"/>
        </w:rPr>
        <w:t>a</w:t>
      </w:r>
      <w:r w:rsidR="00CB2137" w:rsidRPr="005479D6">
        <w:rPr>
          <w:rFonts w:ascii="Times New Roman" w:hAnsi="Times New Roman" w:cs="Times New Roman"/>
          <w:highlight w:val="cyan"/>
        </w:rPr>
        <w:t>/ záruka poistenia</w:t>
      </w:r>
      <w:r w:rsidRPr="005479D6">
        <w:rPr>
          <w:rFonts w:ascii="Times New Roman" w:hAnsi="Times New Roman" w:cs="Times New Roman"/>
          <w:highlight w:val="cyan"/>
        </w:rPr>
        <w:t xml:space="preserve"> </w:t>
      </w:r>
      <w:proofErr w:type="spellStart"/>
      <w:r w:rsidR="005479D6" w:rsidRPr="005479D6">
        <w:rPr>
          <w:rFonts w:ascii="Times New Roman" w:hAnsi="Times New Roman" w:cs="Times New Roman"/>
          <w:b/>
          <w:highlight w:val="cyan"/>
        </w:rPr>
        <w:t>Performancebond</w:t>
      </w:r>
      <w:proofErr w:type="spellEnd"/>
      <w:r w:rsidR="005479D6" w:rsidRPr="005479D6">
        <w:rPr>
          <w:rFonts w:ascii="Times New Roman" w:hAnsi="Times New Roman" w:cs="Times New Roman"/>
          <w:highlight w:val="cyan"/>
        </w:rPr>
        <w:t xml:space="preserve"> nahradí zhotoviteľ po ukončení diela bankovou zárukou – </w:t>
      </w:r>
      <w:proofErr w:type="spellStart"/>
      <w:r w:rsidR="005479D6" w:rsidRPr="005479D6">
        <w:rPr>
          <w:rFonts w:ascii="Times New Roman" w:hAnsi="Times New Roman" w:cs="Times New Roman"/>
          <w:highlight w:val="cyan"/>
        </w:rPr>
        <w:t>Warantybond</w:t>
      </w:r>
      <w:proofErr w:type="spellEnd"/>
      <w:r w:rsidR="005479D6" w:rsidRPr="005479D6">
        <w:rPr>
          <w:rFonts w:ascii="Times New Roman" w:hAnsi="Times New Roman" w:cs="Times New Roman"/>
          <w:highlight w:val="cyan"/>
        </w:rPr>
        <w:t xml:space="preserve"> ( garančná záruka ) vo výške 5 % z </w:t>
      </w:r>
      <w:r w:rsidR="005479D6" w:rsidRPr="005479D6">
        <w:rPr>
          <w:rFonts w:ascii="Times New Roman" w:hAnsi="Times New Roman" w:cs="Times New Roman"/>
          <w:b/>
          <w:highlight w:val="cyan"/>
        </w:rPr>
        <w:t>celkovej ceny</w:t>
      </w:r>
      <w:r w:rsidR="005479D6" w:rsidRPr="005479D6">
        <w:rPr>
          <w:rFonts w:ascii="Times New Roman" w:hAnsi="Times New Roman" w:cs="Times New Roman"/>
          <w:highlight w:val="cyan"/>
        </w:rPr>
        <w:t xml:space="preserve"> diela s DPH, najneskôr do 7 dní od podpisu protokolu o prevzatí dokončenej stavby. Banková záruka </w:t>
      </w:r>
      <w:proofErr w:type="spellStart"/>
      <w:r w:rsidR="005479D6" w:rsidRPr="005479D6">
        <w:rPr>
          <w:rFonts w:ascii="Times New Roman" w:hAnsi="Times New Roman" w:cs="Times New Roman"/>
          <w:highlight w:val="cyan"/>
        </w:rPr>
        <w:t>Warantybond</w:t>
      </w:r>
      <w:proofErr w:type="spellEnd"/>
      <w:r w:rsidR="005479D6" w:rsidRPr="005479D6">
        <w:rPr>
          <w:rFonts w:ascii="Times New Roman" w:hAnsi="Times New Roman" w:cs="Times New Roman"/>
          <w:highlight w:val="cyan"/>
        </w:rPr>
        <w:t xml:space="preserve"> zanikne uplynutím </w:t>
      </w:r>
      <w:r w:rsidR="005479D6" w:rsidRPr="005479D6">
        <w:rPr>
          <w:rFonts w:ascii="Times New Roman" w:hAnsi="Times New Roman" w:cs="Times New Roman"/>
          <w:b/>
          <w:highlight w:val="cyan"/>
        </w:rPr>
        <w:t>24 mesiacov</w:t>
      </w:r>
      <w:r w:rsidR="005479D6" w:rsidRPr="005479D6">
        <w:rPr>
          <w:rFonts w:ascii="Times New Roman" w:hAnsi="Times New Roman" w:cs="Times New Roman"/>
          <w:highlight w:val="cyan"/>
        </w:rPr>
        <w:t xml:space="preserve"> od podpísania preberacieho protokolu celého diela </w:t>
      </w:r>
      <w:r w:rsidRPr="005479D6">
        <w:rPr>
          <w:rFonts w:ascii="Times New Roman" w:hAnsi="Times New Roman" w:cs="Times New Roman"/>
          <w:b/>
          <w:highlight w:val="cyan"/>
        </w:rPr>
        <w:t>„</w:t>
      </w:r>
      <w:r w:rsidR="00C601AC" w:rsidRPr="005479D6">
        <w:rPr>
          <w:rFonts w:ascii="Times New Roman" w:hAnsi="Times New Roman" w:cs="Times New Roman"/>
          <w:b/>
          <w:highlight w:val="cyan"/>
        </w:rPr>
        <w:t xml:space="preserve"> </w:t>
      </w:r>
      <w:r w:rsidR="00C601AC" w:rsidRPr="005479D6">
        <w:rPr>
          <w:rFonts w:ascii="Times New Roman" w:hAnsi="Times New Roman" w:cs="Times New Roman"/>
          <w:b/>
          <w:bCs/>
          <w:highlight w:val="cyan"/>
        </w:rPr>
        <w:t xml:space="preserve">Revitalizácia bývalej priemyselnej zóny na </w:t>
      </w:r>
      <w:proofErr w:type="spellStart"/>
      <w:r w:rsidR="00C601AC" w:rsidRPr="005479D6">
        <w:rPr>
          <w:rFonts w:ascii="Times New Roman" w:hAnsi="Times New Roman" w:cs="Times New Roman"/>
          <w:b/>
          <w:bCs/>
          <w:highlight w:val="cyan"/>
        </w:rPr>
        <w:t>Šávoľskej</w:t>
      </w:r>
      <w:proofErr w:type="spellEnd"/>
      <w:r w:rsidR="00C601AC" w:rsidRPr="005479D6">
        <w:rPr>
          <w:rFonts w:ascii="Times New Roman" w:hAnsi="Times New Roman" w:cs="Times New Roman"/>
          <w:b/>
          <w:bCs/>
          <w:highlight w:val="cyan"/>
        </w:rPr>
        <w:t xml:space="preserve"> ceste – </w:t>
      </w:r>
      <w:proofErr w:type="spellStart"/>
      <w:r w:rsidR="00C601AC" w:rsidRPr="005479D6">
        <w:rPr>
          <w:rFonts w:ascii="Times New Roman" w:hAnsi="Times New Roman" w:cs="Times New Roman"/>
          <w:b/>
          <w:bCs/>
          <w:highlight w:val="cyan"/>
        </w:rPr>
        <w:t>Brownfield</w:t>
      </w:r>
      <w:proofErr w:type="spellEnd"/>
      <w:r w:rsidR="00C601AC" w:rsidRPr="005479D6">
        <w:rPr>
          <w:rFonts w:ascii="Times New Roman" w:hAnsi="Times New Roman" w:cs="Times New Roman"/>
          <w:b/>
          <w:bCs/>
          <w:highlight w:val="cyan"/>
        </w:rPr>
        <w:t xml:space="preserve"> Fiľakovo</w:t>
      </w:r>
      <w:r w:rsidRPr="005479D6">
        <w:rPr>
          <w:rFonts w:ascii="Times New Roman" w:hAnsi="Times New Roman" w:cs="Times New Roman"/>
          <w:b/>
          <w:highlight w:val="cyan"/>
        </w:rPr>
        <w:t>“.</w:t>
      </w:r>
    </w:p>
    <w:p w14:paraId="47C9484A" w14:textId="2A4F08A5" w:rsidR="005479D6" w:rsidRPr="00F70B21" w:rsidRDefault="00F70B21" w:rsidP="003C6802">
      <w:pPr>
        <w:pStyle w:val="Bezriadkovania"/>
        <w:shd w:val="clear" w:color="auto" w:fill="FFCCFF"/>
        <w:tabs>
          <w:tab w:val="left" w:pos="2127"/>
        </w:tabs>
        <w:jc w:val="both"/>
        <w:rPr>
          <w:rFonts w:ascii="Times New Roman" w:hAnsi="Times New Roman" w:cs="Times New Roman"/>
          <w:sz w:val="24"/>
          <w:szCs w:val="24"/>
        </w:rPr>
      </w:pPr>
      <w:r w:rsidRPr="00F70B21">
        <w:rPr>
          <w:rFonts w:ascii="Times New Roman" w:hAnsi="Times New Roman" w:cs="Times New Roman"/>
        </w:rPr>
        <w:t>N</w:t>
      </w:r>
      <w:r>
        <w:rPr>
          <w:rFonts w:ascii="Times New Roman" w:hAnsi="Times New Roman" w:cs="Times New Roman"/>
        </w:rPr>
        <w:t xml:space="preserve">eposkytnutie </w:t>
      </w:r>
      <w:r w:rsidRPr="00F70B21">
        <w:rPr>
          <w:rFonts w:ascii="Times New Roman" w:hAnsi="Times New Roman" w:cs="Times New Roman"/>
        </w:rPr>
        <w:t>bankov</w:t>
      </w:r>
      <w:r>
        <w:rPr>
          <w:rFonts w:ascii="Times New Roman" w:hAnsi="Times New Roman" w:cs="Times New Roman"/>
        </w:rPr>
        <w:t>ej</w:t>
      </w:r>
      <w:r w:rsidRPr="00F70B21">
        <w:rPr>
          <w:rFonts w:ascii="Times New Roman" w:hAnsi="Times New Roman" w:cs="Times New Roman"/>
        </w:rPr>
        <w:t xml:space="preserve"> záruk</w:t>
      </w:r>
      <w:r>
        <w:rPr>
          <w:rFonts w:ascii="Times New Roman" w:hAnsi="Times New Roman" w:cs="Times New Roman"/>
        </w:rPr>
        <w:t>y</w:t>
      </w:r>
      <w:r w:rsidRPr="00F70B21">
        <w:rPr>
          <w:rFonts w:ascii="Times New Roman" w:hAnsi="Times New Roman" w:cs="Times New Roman"/>
        </w:rPr>
        <w:t xml:space="preserve"> alebo záruk</w:t>
      </w:r>
      <w:r>
        <w:rPr>
          <w:rFonts w:ascii="Times New Roman" w:hAnsi="Times New Roman" w:cs="Times New Roman"/>
        </w:rPr>
        <w:t>y</w:t>
      </w:r>
      <w:r w:rsidRPr="00F70B21">
        <w:rPr>
          <w:rFonts w:ascii="Times New Roman" w:hAnsi="Times New Roman" w:cs="Times New Roman"/>
        </w:rPr>
        <w:t xml:space="preserve"> poistenia – </w:t>
      </w:r>
      <w:proofErr w:type="spellStart"/>
      <w:r w:rsidRPr="00F70B21">
        <w:rPr>
          <w:rFonts w:ascii="Times New Roman" w:hAnsi="Times New Roman" w:cs="Times New Roman"/>
        </w:rPr>
        <w:t>Performancebond</w:t>
      </w:r>
      <w:proofErr w:type="spellEnd"/>
      <w:r w:rsidRPr="00F70B21">
        <w:rPr>
          <w:rFonts w:ascii="Times New Roman" w:hAnsi="Times New Roman" w:cs="Times New Roman"/>
        </w:rPr>
        <w:t xml:space="preserve"> (výkonovú záruku) </w:t>
      </w:r>
      <w:r>
        <w:rPr>
          <w:rFonts w:ascii="Times New Roman" w:hAnsi="Times New Roman" w:cs="Times New Roman"/>
        </w:rPr>
        <w:t xml:space="preserve">v určenej výške a </w:t>
      </w:r>
      <w:r w:rsidRPr="00F70B21">
        <w:rPr>
          <w:rFonts w:ascii="Times New Roman" w:hAnsi="Times New Roman" w:cs="Times New Roman"/>
        </w:rPr>
        <w:t xml:space="preserve">v určenej lehote sa </w:t>
      </w:r>
      <w:r w:rsidRPr="00436BC2">
        <w:rPr>
          <w:rFonts w:ascii="Times New Roman" w:hAnsi="Times New Roman" w:cs="Times New Roman"/>
          <w:b/>
          <w:bCs/>
        </w:rPr>
        <w:t>považuje za hrubé porušenie zmluvy zo strany zhotoviteľa a bude mať za následok odstúpenie od zmluvy.</w:t>
      </w:r>
    </w:p>
    <w:p w14:paraId="290C38F5" w14:textId="6F96D5B9" w:rsidR="00BD55C4" w:rsidRPr="005479D6" w:rsidRDefault="00BD55C4" w:rsidP="00BD55C4">
      <w:pPr>
        <w:pStyle w:val="Bezriadkovania"/>
        <w:tabs>
          <w:tab w:val="left" w:pos="2127"/>
        </w:tabs>
        <w:jc w:val="both"/>
        <w:rPr>
          <w:rFonts w:ascii="Times New Roman" w:hAnsi="Times New Roman" w:cs="Times New Roman"/>
          <w:highlight w:val="cyan"/>
        </w:rPr>
      </w:pPr>
      <w:r w:rsidRPr="005479D6">
        <w:rPr>
          <w:rFonts w:ascii="Times New Roman" w:hAnsi="Times New Roman" w:cs="Times New Roman"/>
          <w:highlight w:val="cyan"/>
        </w:rPr>
        <w:t>V prípade, ak zhotoviteľ nevyužije možnosť uvedenú v článku V bode 10 tejto zmluvy má možnosť využiť postup podľa článku V bodu 11 tejto zmluvy.</w:t>
      </w:r>
      <w:r w:rsidR="002D16D1" w:rsidRPr="005479D6">
        <w:rPr>
          <w:rFonts w:ascii="Times New Roman" w:hAnsi="Times New Roman" w:cs="Times New Roman"/>
          <w:highlight w:val="cyan"/>
        </w:rPr>
        <w:t xml:space="preserve"> </w:t>
      </w:r>
    </w:p>
    <w:p w14:paraId="54F1CF5E" w14:textId="77777777" w:rsidR="00BD55C4" w:rsidRPr="005479D6" w:rsidRDefault="00BD55C4" w:rsidP="00BD55C4">
      <w:pPr>
        <w:pStyle w:val="Bezriadkovania"/>
        <w:tabs>
          <w:tab w:val="left" w:pos="2127"/>
        </w:tabs>
        <w:jc w:val="both"/>
        <w:rPr>
          <w:rFonts w:ascii="Times New Roman" w:hAnsi="Times New Roman" w:cs="Times New Roman"/>
          <w:highlight w:val="cyan"/>
        </w:rPr>
      </w:pPr>
    </w:p>
    <w:p w14:paraId="5BAD241C" w14:textId="7EAD4A92" w:rsidR="00BD55C4" w:rsidRPr="005479D6" w:rsidRDefault="00BD55C4" w:rsidP="00F70B21">
      <w:pPr>
        <w:pStyle w:val="Bezriadkovania"/>
        <w:jc w:val="both"/>
        <w:rPr>
          <w:rFonts w:ascii="Times New Roman" w:hAnsi="Times New Roman" w:cs="Times New Roman"/>
          <w:highlight w:val="cyan"/>
        </w:rPr>
      </w:pPr>
      <w:r w:rsidRPr="005479D6">
        <w:rPr>
          <w:rFonts w:ascii="Times New Roman" w:hAnsi="Times New Roman" w:cs="Times New Roman"/>
          <w:b/>
          <w:highlight w:val="cyan"/>
        </w:rPr>
        <w:t>11.</w:t>
      </w:r>
      <w:r w:rsidRPr="005479D6">
        <w:rPr>
          <w:rFonts w:ascii="Times New Roman" w:hAnsi="Times New Roman" w:cs="Times New Roman"/>
          <w:b/>
          <w:bCs/>
          <w:highlight w:val="cyan"/>
        </w:rPr>
        <w:t xml:space="preserve"> </w:t>
      </w:r>
      <w:r w:rsidRPr="005479D6">
        <w:rPr>
          <w:rFonts w:ascii="Times New Roman" w:hAnsi="Times New Roman" w:cs="Times New Roman"/>
          <w:highlight w:val="cyan"/>
        </w:rPr>
        <w:t xml:space="preserve">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w:t>
      </w:r>
      <w:r w:rsidRPr="003C6802">
        <w:rPr>
          <w:rFonts w:ascii="Times New Roman" w:hAnsi="Times New Roman" w:cs="Times New Roman"/>
          <w:highlight w:val="cyan"/>
          <w:shd w:val="clear" w:color="auto" w:fill="FFCCFF"/>
        </w:rPr>
        <w:t>najneskôr</w:t>
      </w:r>
      <w:r w:rsidR="00436BC2" w:rsidRPr="003C6802">
        <w:rPr>
          <w:rFonts w:ascii="Times New Roman" w:hAnsi="Times New Roman" w:cs="Times New Roman"/>
          <w:shd w:val="clear" w:color="auto" w:fill="FFCCFF"/>
        </w:rPr>
        <w:t xml:space="preserve"> v lehote do 7 kalendárnych dní od nadobudnutia účinnosti tejto zmluvy o dielo</w:t>
      </w:r>
      <w:r w:rsidR="00436BC2">
        <w:rPr>
          <w:rFonts w:ascii="Times New Roman" w:hAnsi="Times New Roman" w:cs="Times New Roman"/>
          <w:shd w:val="clear" w:color="auto" w:fill="FF99FF"/>
        </w:rPr>
        <w:t xml:space="preserve"> </w:t>
      </w:r>
      <w:r w:rsidRPr="005479D6">
        <w:rPr>
          <w:rFonts w:ascii="Times New Roman" w:hAnsi="Times New Roman" w:cs="Times New Roman"/>
          <w:highlight w:val="cyan"/>
        </w:rPr>
        <w:t xml:space="preserve">a to na účet objednávateľa zriadený výslovne na tento účel, ktorý objednávateľ oznámi písomne zhotoviteľovi pred podpisom zmluvy. </w:t>
      </w:r>
      <w:r w:rsidRPr="003C6802">
        <w:rPr>
          <w:rFonts w:ascii="Times New Roman" w:hAnsi="Times New Roman" w:cs="Times New Roman"/>
          <w:shd w:val="clear" w:color="auto" w:fill="FFCCFF"/>
        </w:rPr>
        <w:t xml:space="preserve">Neuhradenie tejto sumy v určenej lehote sa </w:t>
      </w:r>
      <w:r w:rsidRPr="003C6802">
        <w:rPr>
          <w:rFonts w:ascii="Times New Roman" w:hAnsi="Times New Roman" w:cs="Times New Roman"/>
          <w:b/>
          <w:bCs/>
          <w:shd w:val="clear" w:color="auto" w:fill="FFCCFF"/>
        </w:rPr>
        <w:t>považuje za hrubé porušenie zmluvy zo strany zhotoviteľa a bude mať za následok odstúpenie od zmluvy.</w:t>
      </w:r>
      <w:r w:rsidR="00436BC2">
        <w:rPr>
          <w:rFonts w:ascii="Times New Roman" w:hAnsi="Times New Roman" w:cs="Times New Roman"/>
        </w:rPr>
        <w:t xml:space="preserve"> </w:t>
      </w:r>
      <w:r w:rsidRPr="005479D6">
        <w:rPr>
          <w:rFonts w:ascii="Times New Roman" w:hAnsi="Times New Roman" w:cs="Times New Roman"/>
          <w:highlight w:val="cyan"/>
        </w:rPr>
        <w:t>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5479D6" w:rsidRDefault="00BD55C4" w:rsidP="00BD55C4">
      <w:pPr>
        <w:pStyle w:val="Bezriadkovania"/>
        <w:rPr>
          <w:rFonts w:ascii="Times New Roman" w:hAnsi="Times New Roman" w:cs="Times New Roman"/>
          <w:highlight w:val="cyan"/>
        </w:rPr>
      </w:pPr>
    </w:p>
    <w:p w14:paraId="257D02E1"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5479D6" w:rsidRDefault="00BD55C4" w:rsidP="00BD55C4">
      <w:pPr>
        <w:pStyle w:val="Bezriadkovania"/>
        <w:rPr>
          <w:rFonts w:ascii="Times New Roman" w:hAnsi="Times New Roman" w:cs="Times New Roman"/>
          <w:highlight w:val="cyan"/>
        </w:rPr>
      </w:pPr>
    </w:p>
    <w:p w14:paraId="1B4E48C9"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objednávateľ je oprávnený použiť prostriedky záruky resp. ich časť na úhradu svojich splatných peňažných pohľadávok podľa písm. a) voči zhotoviteľovi za súčasného  splnenia nasledovných podmienok:</w:t>
      </w:r>
    </w:p>
    <w:p w14:paraId="254B10D3" w14:textId="2392401E"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objednávateľ zaslal zhotoviteľovi výzvu na úhradu peňažného záväzku a vznik svojej pohľadávky voči zhotoviteľovi čo do dôvodu aj výšky vo výzve preukázal</w:t>
      </w:r>
    </w:p>
    <w:p w14:paraId="4BD14545" w14:textId="77777777"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zhotoviteľ na výzvu podľa písm. a) v lehote 10 dní od doručenia nereagoval a</w:t>
      </w:r>
    </w:p>
    <w:p w14:paraId="365B4102" w14:textId="77777777" w:rsidR="00BD55C4" w:rsidRPr="005479D6" w:rsidRDefault="00BD55C4" w:rsidP="00BD55C4">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 xml:space="preserve">objednávateľ nemá voči zhotoviteľovi žiadne neuhradené peňažné záväzky po splatnosti. </w:t>
      </w:r>
    </w:p>
    <w:p w14:paraId="65D9B481" w14:textId="77777777" w:rsidR="00BD55C4" w:rsidRPr="005479D6" w:rsidRDefault="00BD55C4" w:rsidP="00BD55C4">
      <w:pPr>
        <w:pStyle w:val="Bezriadkovania"/>
        <w:numPr>
          <w:ilvl w:val="0"/>
          <w:numId w:val="3"/>
        </w:numPr>
        <w:jc w:val="both"/>
        <w:rPr>
          <w:rFonts w:ascii="Times New Roman" w:hAnsi="Times New Roman" w:cs="Times New Roman"/>
          <w:highlight w:val="cyan"/>
        </w:rPr>
      </w:pPr>
      <w:r w:rsidRPr="005479D6">
        <w:rPr>
          <w:rFonts w:ascii="Times New Roman" w:hAnsi="Times New Roman" w:cs="Times New Roman"/>
          <w:highlight w:val="cy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5479D6" w:rsidRDefault="00BD55C4" w:rsidP="00BD55C4">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zhotoviteľ je oprávnený požadovať od objednávateľa kedykoľvek doklad o stave prostriedkov na účte</w:t>
      </w:r>
    </w:p>
    <w:p w14:paraId="02168FE7" w14:textId="77777777" w:rsidR="005479D6" w:rsidRPr="005479D6" w:rsidRDefault="005479D6" w:rsidP="005479D6">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najneskôr do piatich pracovných dní odo dňa podpisu protokolu o prevzatí stavby je objednávateľ povinný vrátiť zhotoviteľovi časť záruky tak, aby na účte objednávateľa zostala záruka v objeme rovnajúcom sa 5% z celkovej ceny diela s DPH; zostávajúcu časť záruky je objednávateľ povinný vrátiť zhotoviteľovi najneskôr deň nasledujúci po uplynutí 24 mesiacov od podpísania preberacieho protokolu o prevzatí stavby podľa tejto zmluvy;</w:t>
      </w:r>
    </w:p>
    <w:p w14:paraId="369B4538" w14:textId="77777777" w:rsidR="005479D6" w:rsidRPr="005479D6" w:rsidRDefault="005479D6" w:rsidP="005479D6">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garančná záruka slúži na zabezpečenie peňažného záväzku zhotoviteľa, ktorý mu vznikne nesplneným povinnosti odstrániť objednávateľom uplatnené vady počas záručnej doby v súlade s podmienkami zmluvy za splnení nasledovných podmienok:</w:t>
      </w:r>
    </w:p>
    <w:p w14:paraId="7DBB46F1" w14:textId="77777777" w:rsidR="005479D6" w:rsidRPr="005479D6" w:rsidRDefault="005479D6" w:rsidP="005479D6">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objednávateľ zaslal zhotoviteľovi písomnú výzvu na odstránenie zistených vád diela (v záručnej dobe),</w:t>
      </w:r>
    </w:p>
    <w:p w14:paraId="149D74FA" w14:textId="77777777" w:rsidR="005479D6" w:rsidRPr="005479D6" w:rsidRDefault="005479D6" w:rsidP="005479D6">
      <w:pPr>
        <w:pStyle w:val="Bezriadkovania"/>
        <w:numPr>
          <w:ilvl w:val="1"/>
          <w:numId w:val="4"/>
        </w:numPr>
        <w:jc w:val="both"/>
        <w:rPr>
          <w:rFonts w:ascii="Times New Roman" w:hAnsi="Times New Roman" w:cs="Times New Roman"/>
          <w:highlight w:val="cyan"/>
        </w:rPr>
      </w:pPr>
      <w:r w:rsidRPr="005479D6">
        <w:rPr>
          <w:rFonts w:ascii="Times New Roman" w:hAnsi="Times New Roman" w:cs="Times New Roman"/>
          <w:highlight w:val="cyan"/>
        </w:rPr>
        <w:t>zhotoviteľ na výzvu podľa bodu I. v lehote 10 dní od doručenia nereagoval.</w:t>
      </w:r>
    </w:p>
    <w:p w14:paraId="59CF5CAD" w14:textId="77777777" w:rsidR="00BD55C4" w:rsidRPr="005479D6" w:rsidRDefault="00BD55C4" w:rsidP="00BD55C4">
      <w:pPr>
        <w:pStyle w:val="Bezriadkovania"/>
        <w:numPr>
          <w:ilvl w:val="0"/>
          <w:numId w:val="4"/>
        </w:numPr>
        <w:jc w:val="both"/>
        <w:rPr>
          <w:rFonts w:ascii="Times New Roman" w:hAnsi="Times New Roman" w:cs="Times New Roman"/>
          <w:highlight w:val="cyan"/>
        </w:rPr>
      </w:pPr>
      <w:r w:rsidRPr="005479D6">
        <w:rPr>
          <w:rFonts w:ascii="Times New Roman" w:hAnsi="Times New Roman" w:cs="Times New Roman"/>
          <w:highlight w:val="cy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5479D6" w:rsidRDefault="00CC7131" w:rsidP="00BD55C4">
      <w:pPr>
        <w:pStyle w:val="Bezriadkovania"/>
        <w:tabs>
          <w:tab w:val="left" w:pos="2127"/>
        </w:tabs>
        <w:jc w:val="both"/>
        <w:rPr>
          <w:rFonts w:ascii="Times New Roman" w:hAnsi="Times New Roman" w:cs="Times New Roman"/>
          <w:highlight w:val="cyan"/>
        </w:rPr>
      </w:pPr>
    </w:p>
    <w:p w14:paraId="78D7F60C" w14:textId="77777777" w:rsidR="00BD55C4" w:rsidRPr="0080087C" w:rsidRDefault="00CC7131" w:rsidP="00BD55C4">
      <w:pPr>
        <w:pStyle w:val="Bezriadkovania"/>
        <w:tabs>
          <w:tab w:val="left" w:pos="2127"/>
        </w:tabs>
        <w:jc w:val="both"/>
        <w:rPr>
          <w:rFonts w:ascii="Times New Roman" w:hAnsi="Times New Roman" w:cs="Times New Roman"/>
        </w:rPr>
      </w:pPr>
      <w:r w:rsidRPr="005479D6">
        <w:rPr>
          <w:rFonts w:ascii="Times New Roman" w:hAnsi="Times New Roman" w:cs="Times New Roman"/>
          <w:highlight w:val="cyan"/>
        </w:rPr>
        <w:t>O</w:t>
      </w:r>
      <w:r w:rsidR="00BD55C4" w:rsidRPr="005479D6">
        <w:rPr>
          <w:rFonts w:ascii="Times New Roman" w:hAnsi="Times New Roman" w:cs="Times New Roman"/>
          <w:highlight w:val="cy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lastRenderedPageBreak/>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w:t>
      </w:r>
      <w:r w:rsidR="00EE493D" w:rsidRPr="0080087C">
        <w:rPr>
          <w:rFonts w:ascii="Times New Roman" w:hAnsi="Times New Roman" w:cs="Times New Roman"/>
        </w:rPr>
        <w:lastRenderedPageBreak/>
        <w:t xml:space="preserve">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lastRenderedPageBreak/>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že Zhotoviteľ využil na preukázanie technickej a odbornej spôsobilosti vo verejnom obstarávaní v zmysle § 34 ods. 1 písm. d), g) a h) ZVO kapacity iných osôb, je oprávnený, v prípade objektívnych skutočností, nahradiť tieto kapacity kapacitami inej </w:t>
      </w:r>
      <w:r w:rsidRPr="006C2937">
        <w:rPr>
          <w:sz w:val="22"/>
          <w:szCs w:val="22"/>
        </w:rPr>
        <w:lastRenderedPageBreak/>
        <w:t>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Spoločnosť FIREZ s.r.o.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SOCARCH s.r.o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w:t>
      </w:r>
      <w:r w:rsidRPr="0080087C">
        <w:rPr>
          <w:rFonts w:ascii="Times New Roman" w:hAnsi="Times New Roman" w:cs="Times New Roman"/>
        </w:rPr>
        <w:lastRenderedPageBreak/>
        <w:t xml:space="preserve">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68CE407D" w:rsidR="00EE493D" w:rsidRDefault="00EE493D" w:rsidP="00EE493D">
      <w:pPr>
        <w:pStyle w:val="Bezriadkovania"/>
        <w:rPr>
          <w:rFonts w:ascii="Times New Roman" w:hAnsi="Times New Roman" w:cs="Times New Roman"/>
        </w:rPr>
      </w:pPr>
    </w:p>
    <w:p w14:paraId="4B8CF95D" w14:textId="60A503EA" w:rsidR="008E3402" w:rsidRDefault="008E3402" w:rsidP="003C6802">
      <w:pPr>
        <w:pStyle w:val="Bezriadkovania"/>
        <w:shd w:val="clear" w:color="auto" w:fill="FFCCFF"/>
        <w:jc w:val="both"/>
        <w:rPr>
          <w:rFonts w:ascii="Times New Roman" w:hAnsi="Times New Roman" w:cs="Times New Roman"/>
          <w:b/>
        </w:rPr>
      </w:pPr>
      <w:r w:rsidRPr="008E3402">
        <w:rPr>
          <w:rFonts w:ascii="Times New Roman" w:hAnsi="Times New Roman" w:cs="Times New Roman"/>
          <w:b/>
        </w:rPr>
        <w:t>6.</w:t>
      </w:r>
      <w:r>
        <w:rPr>
          <w:rFonts w:ascii="Times New Roman" w:hAnsi="Times New Roman" w:cs="Times New Roman"/>
          <w:b/>
        </w:rPr>
        <w:t xml:space="preserve"> </w:t>
      </w:r>
      <w:r w:rsidRPr="008E3402">
        <w:rPr>
          <w:rFonts w:ascii="Times New Roman" w:hAnsi="Times New Roman" w:cs="Times New Roman"/>
          <w:bCs/>
        </w:rPr>
        <w:t>Zhotoviteľ zaplatí zmluvnú pokutu</w:t>
      </w:r>
      <w:r>
        <w:rPr>
          <w:rFonts w:ascii="Times New Roman" w:hAnsi="Times New Roman" w:cs="Times New Roman"/>
          <w:bCs/>
        </w:rPr>
        <w:t xml:space="preserve"> </w:t>
      </w:r>
      <w:r w:rsidR="00E262FA">
        <w:rPr>
          <w:rFonts w:ascii="Times New Roman" w:hAnsi="Times New Roman" w:cs="Times New Roman"/>
          <w:bCs/>
        </w:rPr>
        <w:t>v</w:t>
      </w:r>
      <w:r>
        <w:rPr>
          <w:rFonts w:ascii="Times New Roman" w:hAnsi="Times New Roman" w:cs="Times New Roman"/>
          <w:bCs/>
        </w:rPr>
        <w:t>o výške</w:t>
      </w:r>
      <w:r w:rsidRPr="008E3402">
        <w:rPr>
          <w:rFonts w:ascii="Times New Roman" w:hAnsi="Times New Roman" w:cs="Times New Roman"/>
          <w:bCs/>
        </w:rPr>
        <w:t xml:space="preserve"> </w:t>
      </w:r>
      <w:r w:rsidR="007C275C" w:rsidRPr="00E262FA">
        <w:rPr>
          <w:rFonts w:ascii="Times New Roman" w:hAnsi="Times New Roman" w:cs="Times New Roman"/>
          <w:b/>
        </w:rPr>
        <w:t>20 000,- Eur</w:t>
      </w:r>
      <w:r w:rsidR="007C275C" w:rsidRPr="00E262FA">
        <w:rPr>
          <w:rFonts w:ascii="Times New Roman" w:hAnsi="Times New Roman" w:cs="Times New Roman"/>
          <w:bCs/>
        </w:rPr>
        <w:t xml:space="preserve"> (slovom: </w:t>
      </w:r>
      <w:r w:rsidR="007C275C" w:rsidRPr="00E262FA">
        <w:rPr>
          <w:rFonts w:ascii="Times New Roman" w:hAnsi="Times New Roman" w:cs="Times New Roman"/>
          <w:b/>
        </w:rPr>
        <w:t>dvadsať tisíc eur</w:t>
      </w:r>
      <w:r w:rsidR="007C275C" w:rsidRPr="00E262FA">
        <w:rPr>
          <w:rFonts w:ascii="Times New Roman" w:hAnsi="Times New Roman" w:cs="Times New Roman"/>
          <w:bCs/>
        </w:rPr>
        <w:t xml:space="preserve">) </w:t>
      </w:r>
      <w:r w:rsidRPr="008E3402">
        <w:rPr>
          <w:rFonts w:ascii="Times New Roman" w:hAnsi="Times New Roman" w:cs="Times New Roman"/>
          <w:bCs/>
        </w:rPr>
        <w:t xml:space="preserve">za porušenie </w:t>
      </w:r>
      <w:bookmarkStart w:id="4" w:name="_Hlk106258328"/>
      <w:r w:rsidRPr="008E3402">
        <w:rPr>
          <w:rFonts w:ascii="Times New Roman" w:hAnsi="Times New Roman" w:cs="Times New Roman"/>
          <w:bCs/>
        </w:rPr>
        <w:t>povinností definovaných v</w:t>
      </w:r>
      <w:r>
        <w:rPr>
          <w:rFonts w:ascii="Times New Roman" w:hAnsi="Times New Roman" w:cs="Times New Roman"/>
          <w:bCs/>
        </w:rPr>
        <w:t> </w:t>
      </w:r>
      <w:r w:rsidRPr="008E3402">
        <w:rPr>
          <w:rFonts w:ascii="Times New Roman" w:hAnsi="Times New Roman" w:cs="Times New Roman"/>
          <w:bCs/>
        </w:rPr>
        <w:t>článku</w:t>
      </w:r>
      <w:r>
        <w:rPr>
          <w:rFonts w:ascii="Times New Roman" w:hAnsi="Times New Roman" w:cs="Times New Roman"/>
          <w:bCs/>
        </w:rPr>
        <w:t xml:space="preserve"> </w:t>
      </w:r>
      <w:r w:rsidRPr="008E3402">
        <w:rPr>
          <w:rFonts w:ascii="Times New Roman" w:hAnsi="Times New Roman" w:cs="Times New Roman"/>
          <w:bCs/>
        </w:rPr>
        <w:t>V</w:t>
      </w:r>
      <w:r>
        <w:rPr>
          <w:rFonts w:ascii="Times New Roman" w:hAnsi="Times New Roman" w:cs="Times New Roman"/>
          <w:bCs/>
        </w:rPr>
        <w:t>.</w:t>
      </w:r>
      <w:r w:rsidRPr="008E3402">
        <w:rPr>
          <w:rFonts w:ascii="Times New Roman" w:hAnsi="Times New Roman" w:cs="Times New Roman"/>
          <w:bCs/>
        </w:rPr>
        <w:t> bod 10, 11 tejto zmluvy o dielo.</w:t>
      </w:r>
      <w:bookmarkEnd w:id="4"/>
    </w:p>
    <w:p w14:paraId="5168F4DD" w14:textId="77777777" w:rsidR="008E3402" w:rsidRDefault="008E3402" w:rsidP="00EE493D">
      <w:pPr>
        <w:pStyle w:val="Bezriadkovania"/>
        <w:rPr>
          <w:rFonts w:ascii="Times New Roman" w:hAnsi="Times New Roman" w:cs="Times New Roman"/>
          <w:b/>
        </w:rPr>
      </w:pPr>
    </w:p>
    <w:p w14:paraId="70E8A7D4" w14:textId="77777777" w:rsidR="007C275C" w:rsidRPr="008E3402" w:rsidRDefault="007C275C" w:rsidP="00EE493D">
      <w:pPr>
        <w:pStyle w:val="Bezriadkovania"/>
        <w:rPr>
          <w:rFonts w:ascii="Times New Roman" w:hAnsi="Times New Roman" w:cs="Times New Roman"/>
          <w:b/>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lastRenderedPageBreak/>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w:t>
      </w:r>
      <w:r w:rsidRPr="0080087C">
        <w:rPr>
          <w:rFonts w:ascii="Times New Roman" w:hAnsi="Times New Roman" w:cs="Times New Roman"/>
        </w:rPr>
        <w:lastRenderedPageBreak/>
        <w:t xml:space="preserve">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lastRenderedPageBreak/>
        <w:t xml:space="preserve">Príloha č. 3 – Opis predmetu zákazky podľa súťažných podkladov </w:t>
      </w:r>
    </w:p>
    <w:p w14:paraId="7E466A94" w14:textId="3AD44D55"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Agócs,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5CEBA1E0" w14:textId="77777777" w:rsidR="003C6802" w:rsidRDefault="003C6802">
      <w:pPr>
        <w:spacing w:after="160" w:line="259" w:lineRule="auto"/>
        <w:rPr>
          <w:b/>
          <w:bCs/>
          <w:i/>
          <w:caps/>
          <w:sz w:val="22"/>
        </w:rPr>
      </w:pPr>
      <w:r>
        <w:rPr>
          <w:b/>
          <w:bCs/>
          <w:i/>
          <w:caps/>
          <w:sz w:val="22"/>
        </w:rPr>
        <w:br w:type="page"/>
      </w:r>
    </w:p>
    <w:p w14:paraId="330E1EFD" w14:textId="4FD942FC" w:rsidR="00F40F21" w:rsidRPr="0080087C" w:rsidRDefault="00F40F21" w:rsidP="009B0E98">
      <w:pPr>
        <w:jc w:val="right"/>
        <w:rPr>
          <w:b/>
          <w:bCs/>
          <w:i/>
          <w:caps/>
          <w:sz w:val="22"/>
        </w:rPr>
      </w:pPr>
      <w:r w:rsidRPr="0080087C">
        <w:rPr>
          <w:b/>
          <w:bCs/>
          <w:i/>
          <w:caps/>
          <w:sz w:val="22"/>
        </w:rPr>
        <w:lastRenderedPageBreak/>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lastRenderedPageBreak/>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9700" w14:textId="77777777" w:rsidR="00670715" w:rsidRDefault="00670715" w:rsidP="008F0C93">
      <w:r>
        <w:separator/>
      </w:r>
    </w:p>
  </w:endnote>
  <w:endnote w:type="continuationSeparator" w:id="0">
    <w:p w14:paraId="4ED64FB7" w14:textId="77777777" w:rsidR="00670715" w:rsidRDefault="00670715"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2CCF" w14:textId="77777777" w:rsidR="00670715" w:rsidRDefault="00670715" w:rsidP="008F0C93">
      <w:r>
        <w:separator/>
      </w:r>
    </w:p>
  </w:footnote>
  <w:footnote w:type="continuationSeparator" w:id="0">
    <w:p w14:paraId="740FB4D9" w14:textId="77777777" w:rsidR="00670715" w:rsidRDefault="00670715"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753127">
    <w:abstractNumId w:val="14"/>
  </w:num>
  <w:num w:numId="2" w16cid:durableId="45616697">
    <w:abstractNumId w:val="4"/>
  </w:num>
  <w:num w:numId="3" w16cid:durableId="1584097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878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61092">
    <w:abstractNumId w:val="12"/>
  </w:num>
  <w:num w:numId="6" w16cid:durableId="1565681157">
    <w:abstractNumId w:val="0"/>
  </w:num>
  <w:num w:numId="7" w16cid:durableId="1597638102">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993072420">
    <w:abstractNumId w:val="5"/>
  </w:num>
  <w:num w:numId="9" w16cid:durableId="831485015">
    <w:abstractNumId w:val="8"/>
  </w:num>
  <w:num w:numId="10" w16cid:durableId="362873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362694">
    <w:abstractNumId w:val="1"/>
  </w:num>
  <w:num w:numId="12" w16cid:durableId="1520466485">
    <w:abstractNumId w:val="2"/>
  </w:num>
  <w:num w:numId="13" w16cid:durableId="1152916687">
    <w:abstractNumId w:val="16"/>
  </w:num>
  <w:num w:numId="14" w16cid:durableId="987629465">
    <w:abstractNumId w:val="13"/>
  </w:num>
  <w:num w:numId="15" w16cid:durableId="1791970940">
    <w:abstractNumId w:val="19"/>
  </w:num>
  <w:num w:numId="16" w16cid:durableId="1493253445">
    <w:abstractNumId w:val="9"/>
  </w:num>
  <w:num w:numId="17" w16cid:durableId="538473347">
    <w:abstractNumId w:val="3"/>
  </w:num>
  <w:num w:numId="18" w16cid:durableId="1948538246">
    <w:abstractNumId w:val="6"/>
  </w:num>
  <w:num w:numId="19" w16cid:durableId="1342854466">
    <w:abstractNumId w:val="17"/>
  </w:num>
  <w:num w:numId="20" w16cid:durableId="1484001800">
    <w:abstractNumId w:val="10"/>
  </w:num>
  <w:num w:numId="21" w16cid:durableId="1209221256">
    <w:abstractNumId w:val="18"/>
  </w:num>
  <w:num w:numId="22" w16cid:durableId="5473743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E1BB1"/>
    <w:rsid w:val="001059B1"/>
    <w:rsid w:val="001070C2"/>
    <w:rsid w:val="00151293"/>
    <w:rsid w:val="00167344"/>
    <w:rsid w:val="00167FD5"/>
    <w:rsid w:val="00190B24"/>
    <w:rsid w:val="001920AF"/>
    <w:rsid w:val="00193497"/>
    <w:rsid w:val="001C7BFB"/>
    <w:rsid w:val="001E4023"/>
    <w:rsid w:val="001E5F57"/>
    <w:rsid w:val="001F1821"/>
    <w:rsid w:val="00226AC3"/>
    <w:rsid w:val="00262FBF"/>
    <w:rsid w:val="00273883"/>
    <w:rsid w:val="002A0138"/>
    <w:rsid w:val="002B4A57"/>
    <w:rsid w:val="002C4220"/>
    <w:rsid w:val="002D16D1"/>
    <w:rsid w:val="0032760E"/>
    <w:rsid w:val="00340903"/>
    <w:rsid w:val="00345BF4"/>
    <w:rsid w:val="00374E4C"/>
    <w:rsid w:val="003B4671"/>
    <w:rsid w:val="003C6802"/>
    <w:rsid w:val="003D0E28"/>
    <w:rsid w:val="003E1ED1"/>
    <w:rsid w:val="003F036F"/>
    <w:rsid w:val="00407993"/>
    <w:rsid w:val="00413B02"/>
    <w:rsid w:val="00436BC2"/>
    <w:rsid w:val="004439BD"/>
    <w:rsid w:val="004439E6"/>
    <w:rsid w:val="00466914"/>
    <w:rsid w:val="00472805"/>
    <w:rsid w:val="00500F5A"/>
    <w:rsid w:val="005046FE"/>
    <w:rsid w:val="00504E02"/>
    <w:rsid w:val="0051648A"/>
    <w:rsid w:val="00531DBC"/>
    <w:rsid w:val="005479D6"/>
    <w:rsid w:val="005531FA"/>
    <w:rsid w:val="00571FF8"/>
    <w:rsid w:val="005866B3"/>
    <w:rsid w:val="005A77E2"/>
    <w:rsid w:val="005C03D3"/>
    <w:rsid w:val="005C2710"/>
    <w:rsid w:val="005D6A50"/>
    <w:rsid w:val="005E1A0F"/>
    <w:rsid w:val="00603FC0"/>
    <w:rsid w:val="0062127A"/>
    <w:rsid w:val="00636F1A"/>
    <w:rsid w:val="006449D3"/>
    <w:rsid w:val="00650F64"/>
    <w:rsid w:val="00667881"/>
    <w:rsid w:val="00670715"/>
    <w:rsid w:val="00685FA7"/>
    <w:rsid w:val="00690F64"/>
    <w:rsid w:val="006A5110"/>
    <w:rsid w:val="006C2937"/>
    <w:rsid w:val="006C4DB5"/>
    <w:rsid w:val="006D777C"/>
    <w:rsid w:val="007145F5"/>
    <w:rsid w:val="00716AB5"/>
    <w:rsid w:val="00737FB6"/>
    <w:rsid w:val="00753A57"/>
    <w:rsid w:val="00777071"/>
    <w:rsid w:val="0078075F"/>
    <w:rsid w:val="0079318B"/>
    <w:rsid w:val="007B7285"/>
    <w:rsid w:val="007C275C"/>
    <w:rsid w:val="007C62FE"/>
    <w:rsid w:val="007C6E11"/>
    <w:rsid w:val="0080087C"/>
    <w:rsid w:val="008013C8"/>
    <w:rsid w:val="008101FA"/>
    <w:rsid w:val="00824EE4"/>
    <w:rsid w:val="00834015"/>
    <w:rsid w:val="00865672"/>
    <w:rsid w:val="0087482F"/>
    <w:rsid w:val="008A7D86"/>
    <w:rsid w:val="008D7285"/>
    <w:rsid w:val="008E3402"/>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57C02"/>
    <w:rsid w:val="00A70EE3"/>
    <w:rsid w:val="00A76C42"/>
    <w:rsid w:val="00AB49EB"/>
    <w:rsid w:val="00AB5EE5"/>
    <w:rsid w:val="00AC6732"/>
    <w:rsid w:val="00AD6466"/>
    <w:rsid w:val="00AE2BB2"/>
    <w:rsid w:val="00AE2DF8"/>
    <w:rsid w:val="00AF0654"/>
    <w:rsid w:val="00AF4ECD"/>
    <w:rsid w:val="00B01377"/>
    <w:rsid w:val="00B13B3D"/>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F5883"/>
    <w:rsid w:val="00E262FA"/>
    <w:rsid w:val="00E51B3E"/>
    <w:rsid w:val="00E539A8"/>
    <w:rsid w:val="00E55DB4"/>
    <w:rsid w:val="00E76668"/>
    <w:rsid w:val="00EA78D2"/>
    <w:rsid w:val="00EB13AD"/>
    <w:rsid w:val="00ED12F6"/>
    <w:rsid w:val="00ED1872"/>
    <w:rsid w:val="00EE493D"/>
    <w:rsid w:val="00F40F21"/>
    <w:rsid w:val="00F46C7E"/>
    <w:rsid w:val="00F70B21"/>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9596</Words>
  <Characters>54701</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dcterms:created xsi:type="dcterms:W3CDTF">2022-06-16T07:46:00Z</dcterms:created>
  <dcterms:modified xsi:type="dcterms:W3CDTF">2022-06-16T07:46:00Z</dcterms:modified>
</cp:coreProperties>
</file>