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604851A4" w:rsidR="00E97FCF" w:rsidRPr="00E97FCF" w:rsidRDefault="00E97FCF" w:rsidP="00E97FCF">
      <w:pPr>
        <w:jc w:val="center"/>
        <w:rPr>
          <w:rFonts w:ascii="Arial Narrow" w:hAnsi="Arial Narrow"/>
        </w:rPr>
      </w:pPr>
      <w:r w:rsidRPr="00962F0E">
        <w:rPr>
          <w:rFonts w:ascii="Arial Narrow" w:hAnsi="Arial Narrow"/>
        </w:rPr>
        <w:t xml:space="preserve">Podmienky účasti </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1B86FF27" w14:textId="3C8A8577" w:rsidR="00E97FCF" w:rsidRDefault="00E97FCF" w:rsidP="000667A7">
      <w:pPr>
        <w:jc w:val="both"/>
        <w:rPr>
          <w:rFonts w:ascii="Arial Narrow" w:hAnsi="Arial Narrow"/>
        </w:rPr>
      </w:pPr>
      <w:r w:rsidRPr="00962F0E">
        <w:rPr>
          <w:rFonts w:ascii="Arial Narrow" w:hAnsi="Arial Narrow"/>
        </w:rPr>
        <w:t xml:space="preserve">Podmienky účasti uchádzačov vo verejnom obstarávaní týkajúce sa technickej spôsobilosti alebo odbornej spôsobilosti podľa § 34 zákona. </w:t>
      </w:r>
    </w:p>
    <w:p w14:paraId="336154D9" w14:textId="77777777" w:rsidR="00573B63" w:rsidRDefault="00573B63" w:rsidP="00573B63">
      <w:pPr>
        <w:pStyle w:val="Odsekzoznamu"/>
        <w:spacing w:after="0" w:line="240" w:lineRule="auto"/>
        <w:ind w:left="0"/>
        <w:rPr>
          <w:rFonts w:ascii="Arial Narrow" w:hAnsi="Arial Narrow"/>
        </w:rPr>
      </w:pPr>
      <w:r>
        <w:rPr>
          <w:rFonts w:ascii="Arial Narrow" w:hAnsi="Arial Narrow"/>
        </w:rPr>
        <w:lastRenderedPageBreak/>
        <w:t>Uchádzač musí preukázať splnenie podmienok účasti podľa:</w:t>
      </w:r>
    </w:p>
    <w:p w14:paraId="3800DE7A" w14:textId="0F150798" w:rsidR="00573B63" w:rsidRDefault="00573B63" w:rsidP="00573B63">
      <w:pPr>
        <w:pStyle w:val="Odsekzoznamu"/>
        <w:numPr>
          <w:ilvl w:val="0"/>
          <w:numId w:val="21"/>
        </w:numPr>
        <w:spacing w:after="0" w:line="240" w:lineRule="auto"/>
        <w:rPr>
          <w:rFonts w:ascii="Arial Narrow" w:hAnsi="Arial Narrow"/>
        </w:rPr>
      </w:pPr>
      <w:r>
        <w:rPr>
          <w:rFonts w:ascii="Arial Narrow" w:hAnsi="Arial Narrow"/>
        </w:rPr>
        <w:t>§ 34 ods. 1 písm. a) zákona o verejnom obstarávaní</w:t>
      </w:r>
      <w:r w:rsidR="00AC62C5">
        <w:rPr>
          <w:rFonts w:ascii="Arial Narrow" w:hAnsi="Arial Narrow"/>
        </w:rPr>
        <w:t>.</w:t>
      </w:r>
    </w:p>
    <w:p w14:paraId="50CC580B" w14:textId="77777777" w:rsidR="00573B63" w:rsidRDefault="00573B63" w:rsidP="00573B63">
      <w:pPr>
        <w:spacing w:after="0" w:line="240" w:lineRule="auto"/>
        <w:rPr>
          <w:rFonts w:ascii="Arial Narrow" w:hAnsi="Arial Narrow"/>
        </w:rPr>
      </w:pPr>
    </w:p>
    <w:p w14:paraId="4A5A7D9B" w14:textId="77777777" w:rsidR="00573B63" w:rsidRDefault="00573B63" w:rsidP="00573B63">
      <w:pPr>
        <w:spacing w:after="0" w:line="240" w:lineRule="auto"/>
        <w:rPr>
          <w:rFonts w:ascii="Arial Narrow" w:hAnsi="Arial Narrow"/>
        </w:rPr>
      </w:pPr>
      <w:r>
        <w:rPr>
          <w:rFonts w:ascii="Arial Narrow" w:hAnsi="Arial Narrow"/>
        </w:rPr>
        <w:t>Minimálna požadovaná úroveň štandardov k podmienky podľa § 34 ods. 1 písm. a) zákona o verejnom obstarávaní:</w:t>
      </w:r>
    </w:p>
    <w:p w14:paraId="0C917476" w14:textId="77777777" w:rsidR="00573B63" w:rsidRPr="00AC62C5" w:rsidRDefault="00573B63" w:rsidP="00573B63">
      <w:pPr>
        <w:spacing w:after="0" w:line="240" w:lineRule="auto"/>
        <w:rPr>
          <w:rFonts w:ascii="Arial Narrow" w:hAnsi="Arial Narrow"/>
        </w:rPr>
      </w:pPr>
      <w:r>
        <w:rPr>
          <w:rFonts w:ascii="Arial Narrow" w:hAnsi="Arial Narrow"/>
        </w:rPr>
        <w:t xml:space="preserve">Uchádzač musí predložiť </w:t>
      </w:r>
      <w:r w:rsidRPr="00CC7251">
        <w:rPr>
          <w:rFonts w:ascii="Arial Narrow" w:hAnsi="Arial Narrow"/>
        </w:rPr>
        <w:t xml:space="preserve">zoznam dodávok tovaru za predchádzajúce tri roky od vyhlásenia verejného obstarávania </w:t>
      </w:r>
      <w:r>
        <w:rPr>
          <w:rFonts w:ascii="Arial Narrow" w:hAnsi="Arial Narrow"/>
        </w:rPr>
        <w:t>(</w:t>
      </w:r>
      <w:r w:rsidRPr="00AC62C5">
        <w:rPr>
          <w:rFonts w:ascii="Arial Narrow" w:hAnsi="Arial Narrow"/>
        </w:rPr>
        <w:t>ďalej len „referenčné obdobie“) s uvedením cien, lehôt dodania a odberateľov; dokladom je referencia, ak odberateľom bol verejný obstarávateľ alebo obstarávateľ podľa tohto zákona.</w:t>
      </w:r>
    </w:p>
    <w:p w14:paraId="432D7B7A" w14:textId="1B2A9DF5" w:rsidR="00573B63" w:rsidRPr="00AC62C5" w:rsidRDefault="00573B63" w:rsidP="00573B63">
      <w:pPr>
        <w:spacing w:after="0" w:line="240" w:lineRule="auto"/>
        <w:rPr>
          <w:rFonts w:ascii="Arial Narrow" w:hAnsi="Arial Narrow"/>
          <w:b/>
          <w:bCs/>
        </w:rPr>
      </w:pPr>
      <w:r w:rsidRPr="00AC62C5">
        <w:rPr>
          <w:rFonts w:ascii="Arial Narrow" w:hAnsi="Arial Narrow"/>
          <w:b/>
          <w:bCs/>
        </w:rPr>
        <w:t xml:space="preserve">Zoznamom dodávok tovaru musí uchádzač preukázať, že v referenčnom období dodal tovary rovnakého alebo podobného charakteru ako je predmet zákazky v minimálne hodnote </w:t>
      </w:r>
      <w:r w:rsidR="005A7883" w:rsidRPr="00AC62C5">
        <w:rPr>
          <w:rFonts w:ascii="Arial Narrow" w:hAnsi="Arial Narrow"/>
          <w:b/>
          <w:bCs/>
        </w:rPr>
        <w:t>1</w:t>
      </w:r>
      <w:r w:rsidRPr="00AC62C5">
        <w:rPr>
          <w:rFonts w:ascii="Arial Narrow" w:hAnsi="Arial Narrow"/>
          <w:b/>
          <w:bCs/>
        </w:rPr>
        <w:t> </w:t>
      </w:r>
      <w:r w:rsidR="005A7883" w:rsidRPr="00AC62C5">
        <w:rPr>
          <w:rFonts w:ascii="Arial Narrow" w:hAnsi="Arial Narrow"/>
          <w:b/>
          <w:bCs/>
        </w:rPr>
        <w:t>0</w:t>
      </w:r>
      <w:r w:rsidRPr="00AC62C5">
        <w:rPr>
          <w:rFonts w:ascii="Arial Narrow" w:hAnsi="Arial Narrow"/>
          <w:b/>
          <w:bCs/>
        </w:rPr>
        <w:t>00 000 eur bez DPH.</w:t>
      </w:r>
    </w:p>
    <w:p w14:paraId="42E6E265" w14:textId="77777777" w:rsidR="00573B63" w:rsidRPr="00AC62C5" w:rsidRDefault="00573B63" w:rsidP="00573B63">
      <w:pPr>
        <w:spacing w:after="0" w:line="240" w:lineRule="auto"/>
        <w:rPr>
          <w:rFonts w:ascii="Arial Narrow" w:hAnsi="Arial Narrow"/>
          <w:b/>
          <w:bCs/>
        </w:rPr>
      </w:pPr>
    </w:p>
    <w:p w14:paraId="2E8805D3" w14:textId="77777777" w:rsidR="00573B63" w:rsidRPr="00AC62C5" w:rsidRDefault="00573B63" w:rsidP="00573B63">
      <w:pPr>
        <w:spacing w:after="0" w:line="240" w:lineRule="auto"/>
        <w:rPr>
          <w:rFonts w:ascii="Arial Narrow" w:hAnsi="Arial Narrow"/>
          <w:b/>
          <w:bCs/>
        </w:rPr>
      </w:pPr>
      <w:r w:rsidRPr="00AC62C5">
        <w:rPr>
          <w:rFonts w:ascii="Arial Narrow" w:hAnsi="Arial Narrow"/>
          <w:b/>
          <w:bCs/>
        </w:rPr>
        <w:t>dodávkami tovarov rovnakého alebo podobného charakteru ako je predmet zákazky sa rozumejú:</w:t>
      </w:r>
    </w:p>
    <w:p w14:paraId="33542DEB"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dodávky chemických látok alebo reagencií na laboratórne účely,</w:t>
      </w:r>
    </w:p>
    <w:p w14:paraId="3F72680A"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činidlá a kontrastné médiá,</w:t>
      </w:r>
    </w:p>
    <w:p w14:paraId="230E0F0B"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zariadenia, materiály a vybavenie určené na laboratórnu diagnostiku,</w:t>
      </w:r>
    </w:p>
    <w:p w14:paraId="6D63D071"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laboratórny, zdravotnícky alebo farmaceutický sklenený tovar,</w:t>
      </w:r>
    </w:p>
    <w:p w14:paraId="294068C7"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laboratórne pipety a príslušenstvo alebo</w:t>
      </w:r>
    </w:p>
    <w:p w14:paraId="27005929" w14:textId="77777777" w:rsidR="00573B63" w:rsidRPr="00AC62C5" w:rsidRDefault="00573B63" w:rsidP="00573B63">
      <w:pPr>
        <w:pStyle w:val="Odsekzoznamu"/>
        <w:numPr>
          <w:ilvl w:val="0"/>
          <w:numId w:val="6"/>
        </w:numPr>
        <w:spacing w:after="0" w:line="240" w:lineRule="auto"/>
        <w:rPr>
          <w:rFonts w:ascii="Arial Narrow" w:hAnsi="Arial Narrow"/>
          <w:b/>
          <w:bCs/>
        </w:rPr>
      </w:pPr>
      <w:r w:rsidRPr="00AC62C5">
        <w:rPr>
          <w:rFonts w:ascii="Arial Narrow" w:hAnsi="Arial Narrow"/>
          <w:b/>
          <w:bCs/>
        </w:rPr>
        <w:t>kontrolné a testovacie prístroje a príslušenstvo určené pre laboratóriá.</w:t>
      </w:r>
    </w:p>
    <w:p w14:paraId="0745ECEF" w14:textId="77777777" w:rsidR="00573B63" w:rsidRPr="004537B9" w:rsidRDefault="00573B63" w:rsidP="00573B63">
      <w:pPr>
        <w:spacing w:after="0" w:line="240" w:lineRule="auto"/>
        <w:rPr>
          <w:rFonts w:ascii="Arial Narrow" w:hAnsi="Arial Narrow"/>
          <w:b/>
          <w:bCs/>
        </w:rPr>
      </w:pPr>
    </w:p>
    <w:p w14:paraId="57F7A80C" w14:textId="53FF1660" w:rsidR="00573B63" w:rsidRDefault="00573B63" w:rsidP="00AC62C5">
      <w:pPr>
        <w:spacing w:after="0" w:line="240" w:lineRule="auto"/>
        <w:rPr>
          <w:rFonts w:ascii="Arial Narrow" w:hAnsi="Arial Narrow"/>
        </w:rPr>
      </w:pPr>
      <w:r>
        <w:rPr>
          <w:rFonts w:ascii="Arial Narrow" w:hAnsi="Arial Narrow"/>
        </w:rPr>
        <w:t>Uchádzač v ponuke predloží referencie k dodávkam tovarov uvedeným v zozname dodávok tovarov alebo predloží odkazy na referencie do Evidencie referencií v strojovo čitateľnej podobe.</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t>Všeobecné informácie, JED</w:t>
      </w:r>
    </w:p>
    <w:p w14:paraId="2DCA345A" w14:textId="7382985D"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v žiadosti o zaradenie do DNS v elektronickej podobe.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FE19" w14:textId="77777777" w:rsidR="00FA42ED" w:rsidRDefault="00FA42ED" w:rsidP="008C695A">
      <w:pPr>
        <w:spacing w:after="0" w:line="240" w:lineRule="auto"/>
      </w:pPr>
      <w:r>
        <w:separator/>
      </w:r>
    </w:p>
  </w:endnote>
  <w:endnote w:type="continuationSeparator" w:id="0">
    <w:p w14:paraId="750DB987" w14:textId="77777777" w:rsidR="00FA42ED" w:rsidRDefault="00FA42ED"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0B48" w14:textId="77777777" w:rsidR="00FA42ED" w:rsidRDefault="00FA42ED" w:rsidP="008C695A">
      <w:pPr>
        <w:spacing w:after="0" w:line="240" w:lineRule="auto"/>
      </w:pPr>
      <w:r>
        <w:separator/>
      </w:r>
    </w:p>
  </w:footnote>
  <w:footnote w:type="continuationSeparator" w:id="0">
    <w:p w14:paraId="0C658F60" w14:textId="77777777" w:rsidR="00FA42ED" w:rsidRDefault="00FA42ED"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7D49" w14:textId="3C63152C" w:rsidR="00176CC7"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40300D6E" w14:textId="11779C4A" w:rsidR="002E779A" w:rsidRDefault="002E779A" w:rsidP="00176CC7">
    <w:pPr>
      <w:spacing w:before="60" w:after="0" w:line="240" w:lineRule="auto"/>
      <w:rPr>
        <w:rFonts w:ascii="Arial Narrow" w:hAnsi="Arial Narrow"/>
        <w:i/>
        <w:iCs/>
      </w:rPr>
    </w:pPr>
    <w:r w:rsidRPr="002E779A">
      <w:rPr>
        <w:rFonts w:ascii="Arial Narrow" w:hAnsi="Arial Narrow"/>
        <w:i/>
        <w:iCs/>
      </w:rPr>
      <w:t xml:space="preserve">Dodávka chemikálií, reagencií a spotrebného materiálu pre expertíznu </w:t>
    </w:r>
    <w:r w:rsidRPr="002E779A">
      <w:rPr>
        <w:rFonts w:ascii="Arial" w:hAnsi="Arial" w:cs="Arial"/>
        <w:i/>
        <w:iCs/>
      </w:rPr>
      <w:t>č</w:t>
    </w:r>
    <w:r w:rsidRPr="002E779A">
      <w:rPr>
        <w:rFonts w:ascii="Arial Narrow" w:hAnsi="Arial Narrow"/>
        <w:i/>
        <w:iCs/>
      </w:rPr>
      <w:t>innos</w:t>
    </w:r>
    <w:r w:rsidRPr="002E779A">
      <w:rPr>
        <w:rFonts w:ascii="Arial" w:hAnsi="Arial" w:cs="Arial"/>
        <w:i/>
        <w:iCs/>
      </w:rPr>
      <w:t>ť</w:t>
    </w:r>
    <w:r w:rsidRPr="002E779A">
      <w:rPr>
        <w:rFonts w:ascii="Arial Narrow" w:hAnsi="Arial Narrow"/>
        <w:i/>
        <w:iCs/>
      </w:rPr>
      <w:t xml:space="preserve"> útvarov MV SR</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176CC7"/>
    <w:rsid w:val="001A206E"/>
    <w:rsid w:val="00201D7A"/>
    <w:rsid w:val="00242A5B"/>
    <w:rsid w:val="0024673D"/>
    <w:rsid w:val="002E779A"/>
    <w:rsid w:val="002F5BB7"/>
    <w:rsid w:val="002F7ADA"/>
    <w:rsid w:val="00300C5D"/>
    <w:rsid w:val="00325DE8"/>
    <w:rsid w:val="0043690D"/>
    <w:rsid w:val="004537B9"/>
    <w:rsid w:val="004A022D"/>
    <w:rsid w:val="004B57F1"/>
    <w:rsid w:val="004C47C5"/>
    <w:rsid w:val="004D13FE"/>
    <w:rsid w:val="004F0585"/>
    <w:rsid w:val="004F0DED"/>
    <w:rsid w:val="005058AF"/>
    <w:rsid w:val="00524AB1"/>
    <w:rsid w:val="00547089"/>
    <w:rsid w:val="00556560"/>
    <w:rsid w:val="005675DE"/>
    <w:rsid w:val="00573B63"/>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8614B"/>
    <w:rsid w:val="009A087E"/>
    <w:rsid w:val="009D0E79"/>
    <w:rsid w:val="009F786C"/>
    <w:rsid w:val="00A17409"/>
    <w:rsid w:val="00A47AFF"/>
    <w:rsid w:val="00A66C37"/>
    <w:rsid w:val="00AC62C5"/>
    <w:rsid w:val="00B052CB"/>
    <w:rsid w:val="00B24856"/>
    <w:rsid w:val="00B54336"/>
    <w:rsid w:val="00BB7D39"/>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1520</Words>
  <Characters>8670</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8</cp:revision>
  <cp:lastPrinted>2020-07-21T08:05:00Z</cp:lastPrinted>
  <dcterms:created xsi:type="dcterms:W3CDTF">2022-05-03T08:20:00Z</dcterms:created>
  <dcterms:modified xsi:type="dcterms:W3CDTF">2022-05-25T12:37:00Z</dcterms:modified>
</cp:coreProperties>
</file>