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05" w:rsidRDefault="00AD3705" w:rsidP="00AD3705">
      <w:pPr>
        <w:widowControl w:val="0"/>
        <w:autoSpaceDE w:val="0"/>
        <w:autoSpaceDN w:val="0"/>
        <w:adjustRightInd w:val="0"/>
        <w:jc w:val="right"/>
        <w:rPr>
          <w:rFonts w:ascii="Arial Narrow" w:eastAsia="Calibri" w:hAnsi="Arial Narrow"/>
          <w:bCs/>
          <w:sz w:val="22"/>
          <w:szCs w:val="22"/>
          <w:shd w:val="clear" w:color="auto" w:fill="FFFFFF"/>
          <w:lang w:eastAsia="cs-CZ"/>
        </w:rPr>
      </w:pPr>
      <w:r>
        <w:rPr>
          <w:rFonts w:ascii="Arial Narrow" w:eastAsia="Calibri" w:hAnsi="Arial Narrow"/>
          <w:bCs/>
          <w:sz w:val="22"/>
          <w:szCs w:val="22"/>
          <w:shd w:val="clear" w:color="auto" w:fill="FFFFFF"/>
          <w:lang w:eastAsia="cs-CZ"/>
        </w:rPr>
        <w:t>Príloha č. 1</w:t>
      </w:r>
    </w:p>
    <w:p w:rsidR="00AD3705" w:rsidRDefault="00AD3705" w:rsidP="00AD3705">
      <w:pPr>
        <w:widowControl w:val="0"/>
        <w:autoSpaceDE w:val="0"/>
        <w:autoSpaceDN w:val="0"/>
        <w:adjustRightInd w:val="0"/>
        <w:jc w:val="center"/>
        <w:rPr>
          <w:rFonts w:ascii="Arial Narrow" w:eastAsia="Calibri" w:hAnsi="Arial Narrow"/>
          <w:bCs/>
          <w:sz w:val="22"/>
          <w:szCs w:val="22"/>
          <w:shd w:val="clear" w:color="auto" w:fill="FFFFFF"/>
          <w:lang w:eastAsia="cs-CZ"/>
        </w:rPr>
      </w:pPr>
    </w:p>
    <w:p w:rsidR="00AD3705" w:rsidRDefault="00AD3705" w:rsidP="00AD3705">
      <w:pPr>
        <w:widowControl w:val="0"/>
        <w:autoSpaceDE w:val="0"/>
        <w:autoSpaceDN w:val="0"/>
        <w:adjustRightInd w:val="0"/>
        <w:jc w:val="center"/>
        <w:rPr>
          <w:rFonts w:ascii="Arial Narrow" w:eastAsia="Calibri" w:hAnsi="Arial Narrow"/>
          <w:bCs/>
          <w:sz w:val="22"/>
          <w:szCs w:val="22"/>
          <w:shd w:val="clear" w:color="auto" w:fill="FFFFFF"/>
          <w:lang w:eastAsia="cs-CZ"/>
        </w:rPr>
      </w:pPr>
      <w:r>
        <w:rPr>
          <w:rFonts w:ascii="Arial Narrow" w:eastAsia="Calibri" w:hAnsi="Arial Narrow"/>
          <w:bCs/>
          <w:sz w:val="22"/>
          <w:szCs w:val="22"/>
          <w:shd w:val="clear" w:color="auto" w:fill="FFFFFF"/>
          <w:lang w:eastAsia="cs-CZ"/>
        </w:rPr>
        <w:t>Opis predmetu zákazky</w:t>
      </w:r>
    </w:p>
    <w:p w:rsidR="00AD3705" w:rsidRDefault="00AD3705" w:rsidP="00AD3705">
      <w:pPr>
        <w:widowControl w:val="0"/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  <w:lang w:eastAsia="cs-CZ"/>
        </w:rPr>
      </w:pPr>
    </w:p>
    <w:p w:rsidR="00AD3705" w:rsidRPr="00AD3705" w:rsidRDefault="00AD3705" w:rsidP="00AD3705">
      <w:pPr>
        <w:widowControl w:val="0"/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  <w:lang w:val="x-none" w:eastAsia="cs-CZ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  <w:lang w:val="x-none" w:eastAsia="cs-CZ"/>
        </w:rPr>
        <w:t>Predmetom zákazky je uskutočnenie odborných prehliadok údržby, skúšok, odstránenie porúch, výmena náhradných dielov na detektore plynov a pár MultiRAE Lite a vykonanie kalibrácie či výmena jeho senzorov.</w:t>
      </w:r>
    </w:p>
    <w:p w:rsidR="00AD3705" w:rsidRPr="00AD3705" w:rsidRDefault="00AD3705" w:rsidP="00AD3705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AD3705">
        <w:rPr>
          <w:rFonts w:ascii="Arial Narrow" w:hAnsi="Arial Narrow"/>
          <w:color w:val="000000"/>
          <w:sz w:val="22"/>
          <w:szCs w:val="22"/>
        </w:rPr>
        <w:t xml:space="preserve">    </w:t>
      </w:r>
    </w:p>
    <w:p w:rsidR="00AD3705" w:rsidRPr="00AD3705" w:rsidRDefault="00AD3705" w:rsidP="00AD3705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D3705">
        <w:rPr>
          <w:rFonts w:ascii="Arial Narrow" w:hAnsi="Arial Narrow"/>
          <w:b/>
          <w:sz w:val="22"/>
          <w:szCs w:val="22"/>
        </w:rPr>
        <w:t xml:space="preserve"> </w:t>
      </w:r>
      <w:r w:rsidRPr="00AD3705">
        <w:rPr>
          <w:rFonts w:ascii="Arial Narrow" w:hAnsi="Arial Narrow"/>
          <w:b/>
          <w:sz w:val="22"/>
          <w:szCs w:val="22"/>
          <w:u w:val="single"/>
        </w:rPr>
        <w:t xml:space="preserve">Špecifikácia požiadavky: </w:t>
      </w:r>
    </w:p>
    <w:p w:rsidR="00AD3705" w:rsidRPr="00AD3705" w:rsidRDefault="00AD3705" w:rsidP="00AD3705">
      <w:pPr>
        <w:tabs>
          <w:tab w:val="left" w:pos="742"/>
          <w:tab w:val="left" w:pos="2880"/>
          <w:tab w:val="left" w:pos="4500"/>
        </w:tabs>
        <w:spacing w:line="276" w:lineRule="auto"/>
        <w:ind w:left="360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 xml:space="preserve"> </w:t>
      </w:r>
    </w:p>
    <w:p w:rsidR="00AD3705" w:rsidRPr="00AD3705" w:rsidRDefault="00AD3705" w:rsidP="00AD3705">
      <w:pPr>
        <w:rPr>
          <w:rFonts w:ascii="Arial Narrow" w:hAnsi="Arial Narrow"/>
          <w:b/>
          <w:sz w:val="22"/>
          <w:szCs w:val="22"/>
        </w:rPr>
      </w:pPr>
      <w:r w:rsidRPr="00AD3705">
        <w:rPr>
          <w:rFonts w:ascii="Arial Narrow" w:hAnsi="Arial Narrow"/>
          <w:b/>
          <w:sz w:val="22"/>
          <w:szCs w:val="22"/>
        </w:rPr>
        <w:t xml:space="preserve">Zoznam požadovaných servisných výkonov a náhradných dielov multidetektorov plynov "MultiRAE Lite"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559"/>
        <w:gridCol w:w="1960"/>
        <w:gridCol w:w="1193"/>
      </w:tblGrid>
      <w:tr w:rsidR="00AD3705" w:rsidRPr="00AD3705" w:rsidTr="00F400A7">
        <w:trPr>
          <w:trHeight w:val="63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Druh výkonu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ind w:left="-66" w:firstLine="66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číslo súčiastky / dielu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Periodicita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Požadovaný počet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Detekčná technika - odborné prehliadky, kalibrácie (justáže), servis a opravy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Odborná prehliadka MultiRAE Lite (prístroja)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sz w:val="22"/>
                <w:szCs w:val="22"/>
              </w:rPr>
            </w:pPr>
            <w:r w:rsidRPr="00AD3705">
              <w:rPr>
                <w:rFonts w:ascii="Arial Narrow" w:hAnsi="Arial Narrow"/>
                <w:sz w:val="22"/>
                <w:szCs w:val="22"/>
              </w:rPr>
              <w:t>1 x za 6 mesiacov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160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Kalibrácia senzora na detekciu oxidu uhoľnatého 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sz w:val="22"/>
                <w:szCs w:val="22"/>
              </w:rPr>
            </w:pPr>
            <w:r w:rsidRPr="00AD3705">
              <w:rPr>
                <w:rFonts w:ascii="Arial Narrow" w:hAnsi="Arial Narrow"/>
                <w:sz w:val="22"/>
                <w:szCs w:val="22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80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 xml:space="preserve">Kalibrácia senzora na detekciu horľavých a výbušných plynov (LEL)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sz w:val="22"/>
                <w:szCs w:val="22"/>
              </w:rPr>
            </w:pPr>
            <w:r w:rsidRPr="00AD3705">
              <w:rPr>
                <w:rFonts w:ascii="Arial Narrow" w:hAnsi="Arial Narrow"/>
                <w:sz w:val="22"/>
                <w:szCs w:val="22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80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Kalibrácia senzora na detekciu sírovodíka H2S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sz w:val="22"/>
                <w:szCs w:val="22"/>
              </w:rPr>
            </w:pPr>
            <w:r w:rsidRPr="00AD3705">
              <w:rPr>
                <w:rFonts w:ascii="Arial Narrow" w:hAnsi="Arial Narrow"/>
                <w:sz w:val="22"/>
                <w:szCs w:val="22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80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Kalibrácia senzora na detekciu kyslíka 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sz w:val="22"/>
                <w:szCs w:val="22"/>
              </w:rPr>
            </w:pPr>
            <w:r w:rsidRPr="00AD3705">
              <w:rPr>
                <w:rFonts w:ascii="Arial Narrow" w:hAnsi="Arial Narrow"/>
                <w:sz w:val="22"/>
                <w:szCs w:val="22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80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Kalibrácia fotoionizačného senzora PID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sz w:val="22"/>
                <w:szCs w:val="22"/>
              </w:rPr>
            </w:pPr>
            <w:r w:rsidRPr="00AD3705">
              <w:rPr>
                <w:rFonts w:ascii="Arial Narrow" w:hAnsi="Arial Narrow"/>
                <w:sz w:val="22"/>
                <w:szCs w:val="22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80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Kalibrácia senzora na detekciu oxidu uhličitého CO2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sz w:val="22"/>
                <w:szCs w:val="22"/>
              </w:rPr>
            </w:pPr>
            <w:r w:rsidRPr="00AD3705">
              <w:rPr>
                <w:rFonts w:ascii="Arial Narrow" w:hAnsi="Arial Narrow"/>
                <w:sz w:val="22"/>
                <w:szCs w:val="22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80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Kalibrácia senzora na detekciu amoniaku NH3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sz w:val="22"/>
                <w:szCs w:val="22"/>
              </w:rPr>
            </w:pPr>
            <w:r w:rsidRPr="00AD3705">
              <w:rPr>
                <w:rFonts w:ascii="Arial Narrow" w:hAnsi="Arial Narrow"/>
                <w:sz w:val="22"/>
                <w:szCs w:val="22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80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Kalibrácia senzora na detekciu chlóru CL2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sz w:val="22"/>
                <w:szCs w:val="22"/>
              </w:rPr>
            </w:pPr>
            <w:r w:rsidRPr="00AD3705">
              <w:rPr>
                <w:rFonts w:ascii="Arial Narrow" w:hAnsi="Arial Narrow"/>
                <w:sz w:val="22"/>
                <w:szCs w:val="22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80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Kalibrácia senzora na detekciu oxidu dusičitého NO2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sz w:val="22"/>
                <w:szCs w:val="22"/>
              </w:rPr>
            </w:pPr>
            <w:r w:rsidRPr="00AD3705">
              <w:rPr>
                <w:rFonts w:ascii="Arial Narrow" w:hAnsi="Arial Narrow"/>
                <w:sz w:val="22"/>
                <w:szCs w:val="22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80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Kalibrácia senzora na detekciu oxidu dusnatého 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sz w:val="22"/>
                <w:szCs w:val="22"/>
              </w:rPr>
            </w:pPr>
            <w:r w:rsidRPr="00AD3705">
              <w:rPr>
                <w:rFonts w:ascii="Arial Narrow" w:hAnsi="Arial Narrow"/>
                <w:sz w:val="22"/>
                <w:szCs w:val="22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80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Kalibrácia senzora na detekciu oxidu siričitého SO2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sz w:val="22"/>
                <w:szCs w:val="22"/>
              </w:rPr>
            </w:pPr>
            <w:r w:rsidRPr="00AD3705">
              <w:rPr>
                <w:rFonts w:ascii="Arial Narrow" w:hAnsi="Arial Narrow"/>
                <w:sz w:val="22"/>
                <w:szCs w:val="22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80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Kalibrácia senzora na detekciu kyanovodíka HCN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sz w:val="22"/>
                <w:szCs w:val="22"/>
              </w:rPr>
            </w:pPr>
            <w:r w:rsidRPr="00AD3705">
              <w:rPr>
                <w:rFonts w:ascii="Arial Narrow" w:hAnsi="Arial Narrow"/>
                <w:sz w:val="22"/>
                <w:szCs w:val="22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80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Servisné práce (1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sz w:val="22"/>
                <w:szCs w:val="22"/>
              </w:rPr>
            </w:pPr>
            <w:r w:rsidRPr="00AD3705">
              <w:rPr>
                <w:rFonts w:ascii="Arial Narrow" w:hAnsi="Arial Narrow"/>
                <w:sz w:val="22"/>
                <w:szCs w:val="22"/>
              </w:rPr>
              <w:t xml:space="preserve">podľa potreby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80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Výmena senzora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sz w:val="22"/>
                <w:szCs w:val="22"/>
              </w:rPr>
            </w:pPr>
            <w:r w:rsidRPr="00AD3705">
              <w:rPr>
                <w:rFonts w:ascii="Arial Narrow" w:hAnsi="Arial Narrow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232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Užívateľské školenie meracie zariadenia</w:t>
            </w: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1 x za 2 roky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2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Druh výkonu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ind w:left="-66" w:firstLine="66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číslo súčiastky / dielu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Periodicita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Požadovaný počet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Náhradné diely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 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Senzor na detekciu oxidu uhoľnatého CO (0-500ppm)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C03-0906-000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20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Senzor na detekciu horľavých a výbušných plynov (LEL)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C03-0911-000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20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Senzor na detekciu sírovodíka H2S (0-100ppm)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C03-0907-001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20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Senzor na detekciu kyslíka 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C03-0942-000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20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Fotoionizačný senzor (PID)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C03-0912-003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20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Senzor na detekciu oxidu uhličitého CO2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C03-0961-000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12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Senzor na detekciu amoniaku NH3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C03-0950-000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30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Senzor na detekciu chlóru CL2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C03-0978-000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20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Senzor na detekciu oxidu dusičitého NO2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C03-0975-000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20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Senzor na detekciu oxidu dusnatého 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C03-0974-000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20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Senzor na detekciu oxidu siričitého SO2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C03-0973-100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20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Senzor na detekciu kyanovodíka HCN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C03-0949-000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20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Prázdny senzor (dummy sensor)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C03-2028-000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20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Externý hydrofóbny filter (bal. 3 ks)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008-3022-003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48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Čerpadlo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020-3603-000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40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Akumulátor štandardný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M01-3053-000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20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Gumený ochranný návlek žltý (pre detektory s čerpadlom)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M01-2080-100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8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Klip na opasok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M01-2049-100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20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Adaptér na vstupe nasávania - bal. 3 ks (Gas inlet adapter)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M01-3007-003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4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Cestovná nabíjačka (travel charger)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M01-3021-000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8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Zdroj pre nabíjačku (230V)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500-0036-101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20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Autonabíjačka (12V)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003-3004-000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8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Kalibračný adaptér (bal. 3 ks)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M01-3011-000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4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Drobný materiál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40</w:t>
            </w:r>
          </w:p>
        </w:tc>
      </w:tr>
      <w:tr w:rsidR="00AD3705" w:rsidRPr="00AD3705" w:rsidTr="00F400A7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Doprava PPL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705" w:rsidRPr="00AD3705" w:rsidRDefault="00AD3705" w:rsidP="00F400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000000"/>
                <w:sz w:val="22"/>
                <w:szCs w:val="22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705" w:rsidRPr="00AD3705" w:rsidRDefault="00AD3705" w:rsidP="00F400A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3705">
              <w:rPr>
                <w:rFonts w:ascii="Arial Narrow" w:hAnsi="Arial Narrow"/>
                <w:color w:val="FF0000"/>
                <w:sz w:val="22"/>
                <w:szCs w:val="22"/>
              </w:rPr>
              <w:t>80</w:t>
            </w:r>
          </w:p>
        </w:tc>
      </w:tr>
    </w:tbl>
    <w:p w:rsidR="00AD3705" w:rsidRPr="00AD3705" w:rsidRDefault="00AD3705" w:rsidP="00AD3705">
      <w:p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</w:p>
    <w:p w:rsidR="00AD3705" w:rsidRPr="00AD3705" w:rsidRDefault="00AD3705" w:rsidP="00AD3705">
      <w:p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/>
          <w:bCs/>
          <w:sz w:val="22"/>
          <w:szCs w:val="22"/>
          <w:shd w:val="clear" w:color="auto" w:fill="FFFFFF"/>
        </w:rPr>
        <w:t>Špecifikácia servisných prác a náhradných dielov:</w:t>
      </w:r>
    </w:p>
    <w:p w:rsidR="00AD3705" w:rsidRPr="00AD3705" w:rsidRDefault="00AD3705" w:rsidP="00AD3705">
      <w:p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/>
          <w:bCs/>
          <w:sz w:val="22"/>
          <w:szCs w:val="22"/>
          <w:shd w:val="clear" w:color="auto" w:fill="FFFFFF"/>
        </w:rPr>
      </w:pP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Vykonanie odborných prehliadok, pravidelnej údržby, servisných prehliadok, kalibrácií a opráv na detektoroch plynov a pár MultiRAE Lite (samotnom prístroji) podľa servisných intervalov odporučených výrobcom.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Vykonanie pravidelnej kalibrácie, ktorá sa vykonáva jeden krát za pol roka na elektrochemickom senzore na detekciu oxidu uhoľnatého CO.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 xml:space="preserve">Vykonanie pravidelnej kalibrácie, ktorá sa vykonáva jeden krát za pol roka na katalytickom senzore na detekciu horľavých a výbušných plynov (LEL). 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Vykonanie pravidelnej kalibrácie, ktorá sa vykonáva jeden krát za pol roka na elektrochemickom senzore na detekciu sírovodíku H</w:t>
      </w: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  <w:vertAlign w:val="subscript"/>
        </w:rPr>
        <w:t>2</w:t>
      </w: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S.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 xml:space="preserve">Vykonanie pravidelnej kalibrácie, ktorá sa vykonáva jeden krát za pol roka na elektrochemickom senzore na detekciu kyslíka </w:t>
      </w:r>
      <w:r w:rsidRPr="00AD3705">
        <w:rPr>
          <w:rFonts w:ascii="Arial Narrow" w:hAnsi="Arial Narrow"/>
          <w:sz w:val="22"/>
          <w:szCs w:val="22"/>
        </w:rPr>
        <w:t>O</w:t>
      </w:r>
      <w:r w:rsidRPr="00AD3705">
        <w:rPr>
          <w:rFonts w:ascii="Arial Narrow" w:hAnsi="Arial Narrow"/>
          <w:sz w:val="22"/>
          <w:szCs w:val="22"/>
          <w:vertAlign w:val="subscript"/>
        </w:rPr>
        <w:t>2</w:t>
      </w: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Vykonanie pravidelnej kalibrácie a čistenia senzoru, ktoré sa vykonávajú jeden krát za pol roka na fotoionizačnom (PID) senzore.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Vykonanie pravidelnej kalibrácie, ktorá sa vykonáva jeden krát za pol roka na IR senzore na detekciu oxidu uhličitého C</w:t>
      </w:r>
      <w:r w:rsidRPr="00AD3705">
        <w:rPr>
          <w:rFonts w:ascii="Arial Narrow" w:hAnsi="Arial Narrow"/>
          <w:sz w:val="22"/>
          <w:szCs w:val="22"/>
        </w:rPr>
        <w:t>O</w:t>
      </w:r>
      <w:r w:rsidRPr="00AD3705">
        <w:rPr>
          <w:rFonts w:ascii="Arial Narrow" w:hAnsi="Arial Narrow"/>
          <w:sz w:val="22"/>
          <w:szCs w:val="22"/>
          <w:vertAlign w:val="subscript"/>
        </w:rPr>
        <w:t>2</w:t>
      </w: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 xml:space="preserve">Vykonanie pravidelnej kalibrácie, ktorá sa vykonáva jeden krát za pol roka na elektrochemickom senzore na detekciu amoniaku </w:t>
      </w:r>
      <w:r w:rsidRPr="00AD3705">
        <w:rPr>
          <w:rFonts w:ascii="Arial Narrow" w:hAnsi="Arial Narrow"/>
          <w:sz w:val="22"/>
          <w:szCs w:val="22"/>
        </w:rPr>
        <w:t>NH</w:t>
      </w:r>
      <w:r w:rsidRPr="00AD3705">
        <w:rPr>
          <w:rFonts w:ascii="Arial Narrow" w:hAnsi="Arial Narrow"/>
          <w:sz w:val="22"/>
          <w:szCs w:val="22"/>
          <w:vertAlign w:val="subscript"/>
        </w:rPr>
        <w:t>3</w:t>
      </w: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 xml:space="preserve">Vykonanie pravidelnej kalibrácie, ktorá sa vykonáva jeden krát za pol roka na elektrochemickom senzore na detekciu oxidu chlóru </w:t>
      </w:r>
      <w:r w:rsidRPr="00AD3705">
        <w:rPr>
          <w:rFonts w:ascii="Arial Narrow" w:hAnsi="Arial Narrow"/>
          <w:sz w:val="22"/>
          <w:szCs w:val="22"/>
        </w:rPr>
        <w:t>Cl</w:t>
      </w:r>
      <w:r w:rsidRPr="00AD3705">
        <w:rPr>
          <w:rFonts w:ascii="Arial Narrow" w:hAnsi="Arial Narrow"/>
          <w:sz w:val="22"/>
          <w:szCs w:val="22"/>
          <w:vertAlign w:val="subscript"/>
        </w:rPr>
        <w:t>2</w:t>
      </w: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Vykonanie pravidelnej kalibrácie, ktorá sa vykonáva jeden krát za pol roka na elektrochemickom senzore na detekciu oxidu dusičitého N</w:t>
      </w:r>
      <w:r w:rsidRPr="00AD3705">
        <w:rPr>
          <w:rFonts w:ascii="Arial Narrow" w:hAnsi="Arial Narrow"/>
          <w:sz w:val="22"/>
          <w:szCs w:val="22"/>
        </w:rPr>
        <w:t>O</w:t>
      </w:r>
      <w:r w:rsidRPr="00AD3705">
        <w:rPr>
          <w:rFonts w:ascii="Arial Narrow" w:hAnsi="Arial Narrow"/>
          <w:sz w:val="22"/>
          <w:szCs w:val="22"/>
          <w:vertAlign w:val="subscript"/>
        </w:rPr>
        <w:t>2</w:t>
      </w: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 xml:space="preserve">. 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Vykonanie pravidelnej kalibrácie, ktorá sa vykonáva jeden krát za pol roka na elektrochemickom senzore na detekciu oxidu dusnatého NO.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Vykonanie pravidelnej kalibrácie, ktorá sa vykonáva jeden krát za pol roka na elektrochemickom senzore na detekciu oxidu siričitého S</w:t>
      </w:r>
      <w:r w:rsidRPr="00AD3705">
        <w:rPr>
          <w:rFonts w:ascii="Arial Narrow" w:hAnsi="Arial Narrow"/>
          <w:sz w:val="22"/>
          <w:szCs w:val="22"/>
        </w:rPr>
        <w:t>O</w:t>
      </w:r>
      <w:r w:rsidRPr="00AD3705">
        <w:rPr>
          <w:rFonts w:ascii="Arial Narrow" w:hAnsi="Arial Narrow"/>
          <w:sz w:val="22"/>
          <w:szCs w:val="22"/>
          <w:vertAlign w:val="subscript"/>
        </w:rPr>
        <w:t>2</w:t>
      </w: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Vykonanie pravidelnej kalibrácie, ktorá sa vykonáva jeden krát za pol roka na elektrochemickom senzore na detekciu kyanovodíku HCN.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lastRenderedPageBreak/>
        <w:t>Vykonanie výmeny PID senzora , LR (1 – 1000 res.; 10,6 eV lamp).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Vykonanie výmeny senzora na detekciu Oxidu uhoľnatého CO.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 xml:space="preserve">Vykonanie výmeny senzora na detekciu Amoniaku </w:t>
      </w:r>
      <w:r w:rsidRPr="00AD3705">
        <w:rPr>
          <w:rFonts w:ascii="Arial Narrow" w:hAnsi="Arial Narrow"/>
          <w:sz w:val="22"/>
          <w:szCs w:val="22"/>
        </w:rPr>
        <w:t>NH</w:t>
      </w:r>
      <w:r w:rsidRPr="00AD3705">
        <w:rPr>
          <w:rFonts w:ascii="Arial Narrow" w:hAnsi="Arial Narrow"/>
          <w:sz w:val="22"/>
          <w:szCs w:val="22"/>
          <w:vertAlign w:val="subscript"/>
        </w:rPr>
        <w:t>3</w:t>
      </w: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Vykonanie výmeny senzora na detekciu Sírovodíku H</w:t>
      </w: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  <w:vertAlign w:val="subscript"/>
        </w:rPr>
        <w:t>2</w:t>
      </w: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S (up to 100 ppm reading).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Vykonanie výmeny senzora na detekciu Oxidu uhličitého C</w:t>
      </w:r>
      <w:r w:rsidRPr="00AD3705">
        <w:rPr>
          <w:rFonts w:ascii="Arial Narrow" w:hAnsi="Arial Narrow"/>
          <w:sz w:val="22"/>
          <w:szCs w:val="22"/>
        </w:rPr>
        <w:t>O</w:t>
      </w:r>
      <w:r w:rsidRPr="00AD3705">
        <w:rPr>
          <w:rFonts w:ascii="Arial Narrow" w:hAnsi="Arial Narrow"/>
          <w:sz w:val="22"/>
          <w:szCs w:val="22"/>
          <w:vertAlign w:val="subscript"/>
        </w:rPr>
        <w:t>2</w:t>
      </w: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 xml:space="preserve">Vykonanie výmeny senzora na detekciu Chlóru </w:t>
      </w:r>
      <w:r w:rsidRPr="00AD3705">
        <w:rPr>
          <w:rFonts w:ascii="Arial Narrow" w:hAnsi="Arial Narrow"/>
          <w:sz w:val="22"/>
          <w:szCs w:val="22"/>
        </w:rPr>
        <w:t>Cl</w:t>
      </w:r>
      <w:r w:rsidRPr="00AD3705">
        <w:rPr>
          <w:rFonts w:ascii="Arial Narrow" w:hAnsi="Arial Narrow"/>
          <w:sz w:val="22"/>
          <w:szCs w:val="22"/>
          <w:vertAlign w:val="subscript"/>
        </w:rPr>
        <w:t>2</w:t>
      </w: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Vykonanie výmeny senzora na detekciu výbušných plynov (LEL senzor).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 xml:space="preserve">Vykonanie výmeny senzora na detekciu Kyslíka </w:t>
      </w:r>
      <w:r w:rsidRPr="00AD3705">
        <w:rPr>
          <w:rFonts w:ascii="Arial Narrow" w:hAnsi="Arial Narrow"/>
          <w:sz w:val="22"/>
          <w:szCs w:val="22"/>
        </w:rPr>
        <w:t>O</w:t>
      </w:r>
      <w:r w:rsidRPr="00AD3705">
        <w:rPr>
          <w:rFonts w:ascii="Arial Narrow" w:hAnsi="Arial Narrow"/>
          <w:sz w:val="22"/>
          <w:szCs w:val="22"/>
          <w:vertAlign w:val="subscript"/>
        </w:rPr>
        <w:t>2</w:t>
      </w: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Vykonanie výmeny senzora na detekciu Oxidu dusičitého N</w:t>
      </w:r>
      <w:r w:rsidRPr="00AD3705">
        <w:rPr>
          <w:rFonts w:ascii="Arial Narrow" w:hAnsi="Arial Narrow"/>
          <w:sz w:val="22"/>
          <w:szCs w:val="22"/>
        </w:rPr>
        <w:t>O</w:t>
      </w:r>
      <w:r w:rsidRPr="00AD3705">
        <w:rPr>
          <w:rFonts w:ascii="Arial Narrow" w:hAnsi="Arial Narrow"/>
          <w:sz w:val="22"/>
          <w:szCs w:val="22"/>
          <w:vertAlign w:val="subscript"/>
        </w:rPr>
        <w:t>2</w:t>
      </w: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Vykonanie výmeny senzora na detekciu Kyanovodíka HCN.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Vykonanie výmeny senzora na detekciu Oxidu dusnatého NO.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Vykonanie výmeny senzora na detekciu Oxidu siričitého S</w:t>
      </w:r>
      <w:r w:rsidRPr="00AD3705">
        <w:rPr>
          <w:rFonts w:ascii="Arial Narrow" w:hAnsi="Arial Narrow"/>
          <w:sz w:val="22"/>
          <w:szCs w:val="22"/>
        </w:rPr>
        <w:t>O</w:t>
      </w:r>
      <w:r w:rsidRPr="00AD3705">
        <w:rPr>
          <w:rFonts w:ascii="Arial Narrow" w:hAnsi="Arial Narrow"/>
          <w:sz w:val="22"/>
          <w:szCs w:val="22"/>
          <w:vertAlign w:val="subscript"/>
        </w:rPr>
        <w:t>2</w:t>
      </w: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Vykonanie výmeny prázdneho senzora (dummy senzor).</w:t>
      </w:r>
    </w:p>
    <w:p w:rsidR="00AD3705" w:rsidRPr="00AD3705" w:rsidRDefault="00AD3705" w:rsidP="00AD3705">
      <w:pPr>
        <w:numPr>
          <w:ilvl w:val="0"/>
          <w:numId w:val="4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Výmena filtru na vodné pary.</w:t>
      </w:r>
    </w:p>
    <w:p w:rsidR="00AD3705" w:rsidRPr="00AD3705" w:rsidRDefault="00AD3705" w:rsidP="00AD3705">
      <w:p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</w:p>
    <w:p w:rsidR="00AD3705" w:rsidRPr="00AD3705" w:rsidRDefault="00AD3705" w:rsidP="00AD3705">
      <w:p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Vykonaním výmeny senzora verejný obstarávateľ rozumie výmenu starého senzora za nový pričom cena nového senzora je zahrnutá v cene servisného úkonu.</w:t>
      </w:r>
    </w:p>
    <w:p w:rsidR="00AD3705" w:rsidRDefault="00AD3705" w:rsidP="00AD3705">
      <w:p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AD3705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Vykonanie nevyhnutných servisných prác po dohode s užívateľom spojených s výmenou náhradných dielov.</w:t>
      </w:r>
    </w:p>
    <w:p w:rsidR="00BE3161" w:rsidRPr="00BE3161" w:rsidRDefault="00BE3161" w:rsidP="00BE3161">
      <w:pPr>
        <w:widowControl w:val="0"/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240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BE3161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Iné požiadavky</w:t>
      </w:r>
      <w:r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:</w:t>
      </w:r>
      <w:bookmarkStart w:id="0" w:name="_GoBack"/>
      <w:bookmarkEnd w:id="0"/>
    </w:p>
    <w:p w:rsidR="00BE3161" w:rsidRPr="00BE3161" w:rsidRDefault="00BE3161" w:rsidP="00BE3161">
      <w:pPr>
        <w:tabs>
          <w:tab w:val="left" w:pos="884"/>
        </w:tabs>
        <w:spacing w:after="200" w:line="276" w:lineRule="auto"/>
        <w:ind w:left="360"/>
        <w:contextualSpacing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</w:p>
    <w:p w:rsidR="00BE3161" w:rsidRPr="00BE3161" w:rsidRDefault="00BE3161" w:rsidP="00BE3161">
      <w:pPr>
        <w:numPr>
          <w:ilvl w:val="0"/>
          <w:numId w:val="5"/>
        </w:numPr>
        <w:tabs>
          <w:tab w:val="left" w:pos="884"/>
        </w:tabs>
        <w:spacing w:after="200" w:line="276" w:lineRule="auto"/>
        <w:contextualSpacing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BE3161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Uchádzač musí dokladovať (potvrdením, certifikátom od výrobcu prístroja) dostatočný počet odborne spôsobilých technikov.</w:t>
      </w:r>
    </w:p>
    <w:p w:rsidR="00BE3161" w:rsidRPr="00BE3161" w:rsidRDefault="00BE3161" w:rsidP="00BE3161">
      <w:pPr>
        <w:numPr>
          <w:ilvl w:val="0"/>
          <w:numId w:val="5"/>
        </w:numPr>
        <w:tabs>
          <w:tab w:val="left" w:pos="884"/>
        </w:tabs>
        <w:spacing w:after="200" w:line="276" w:lineRule="auto"/>
        <w:contextualSpacing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BE3161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Uchádzač musí doložiť potvrdenie originality náhradných dielov.</w:t>
      </w:r>
    </w:p>
    <w:p w:rsidR="00BE3161" w:rsidRPr="00BE3161" w:rsidRDefault="00BE3161" w:rsidP="00BE3161">
      <w:pPr>
        <w:numPr>
          <w:ilvl w:val="0"/>
          <w:numId w:val="5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BE3161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Uchádzač musí po odbornej prehliadke, servisnej prehliadke, kalibrácií alebo oprave na detektore plynov alebo senzoroch vydať autorizovaný protokol (revízny technik), ktorý deklaruje stav detektoru plynov alebo senzorov.</w:t>
      </w:r>
    </w:p>
    <w:p w:rsidR="00BE3161" w:rsidRPr="00BE3161" w:rsidRDefault="00BE3161" w:rsidP="00BE3161">
      <w:pPr>
        <w:numPr>
          <w:ilvl w:val="0"/>
          <w:numId w:val="5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BE3161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Uchádzač musí mať obchodného zástupcu, ktorý bude zabezpečovať servis v Slovenskej republike.</w:t>
      </w:r>
    </w:p>
    <w:p w:rsidR="00BE3161" w:rsidRPr="00BE3161" w:rsidRDefault="00BE3161" w:rsidP="00BE3161">
      <w:pPr>
        <w:numPr>
          <w:ilvl w:val="0"/>
          <w:numId w:val="5"/>
        </w:num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  <w:r w:rsidRPr="00BE3161">
        <w:rPr>
          <w:rFonts w:ascii="Arial Narrow" w:eastAsia="Calibri" w:hAnsi="Arial Narrow"/>
          <w:bCs/>
          <w:sz w:val="22"/>
          <w:szCs w:val="22"/>
          <w:shd w:val="clear" w:color="auto" w:fill="FFFFFF"/>
        </w:rPr>
        <w:t>Uchádzač musí zabezpečiť prevoz prístrojov od jednotiek HaZZ do miesta vykonania servisných prác a späť.</w:t>
      </w:r>
    </w:p>
    <w:p w:rsidR="00BE3161" w:rsidRPr="00AD3705" w:rsidRDefault="00BE3161" w:rsidP="00AD3705">
      <w:pPr>
        <w:tabs>
          <w:tab w:val="left" w:pos="742"/>
          <w:tab w:val="left" w:pos="2880"/>
          <w:tab w:val="left" w:pos="4500"/>
        </w:tabs>
        <w:spacing w:line="276" w:lineRule="auto"/>
        <w:jc w:val="both"/>
        <w:rPr>
          <w:rFonts w:ascii="Arial Narrow" w:eastAsia="Calibri" w:hAnsi="Arial Narrow"/>
          <w:bCs/>
          <w:sz w:val="22"/>
          <w:szCs w:val="22"/>
          <w:shd w:val="clear" w:color="auto" w:fill="FFFFFF"/>
        </w:rPr>
      </w:pPr>
    </w:p>
    <w:p w:rsidR="00D814F6" w:rsidRPr="00AD3705" w:rsidRDefault="00D814F6">
      <w:pPr>
        <w:rPr>
          <w:rFonts w:ascii="Arial Narrow" w:hAnsi="Arial Narrow"/>
          <w:sz w:val="22"/>
          <w:szCs w:val="22"/>
        </w:rPr>
      </w:pPr>
    </w:p>
    <w:sectPr w:rsidR="00D814F6" w:rsidRPr="00AD3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4F007CA4"/>
    <w:multiLevelType w:val="hybridMultilevel"/>
    <w:tmpl w:val="596870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679043E5"/>
    <w:multiLevelType w:val="hybridMultilevel"/>
    <w:tmpl w:val="B82C00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05"/>
    <w:rsid w:val="00887499"/>
    <w:rsid w:val="008D235D"/>
    <w:rsid w:val="00AD3705"/>
    <w:rsid w:val="00BE3161"/>
    <w:rsid w:val="00D814F6"/>
    <w:rsid w:val="00DA3E9C"/>
    <w:rsid w:val="00F7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3705"/>
    <w:rPr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3705"/>
    <w:rPr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1011</Words>
  <Characters>5767</Characters>
  <Application>Microsoft Office Word</Application>
  <DocSecurity>0</DocSecurity>
  <Lines>48</Lines>
  <Paragraphs>13</Paragraphs>
  <ScaleCrop>false</ScaleCrop>
  <Company>MVSR</Company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3</cp:revision>
  <dcterms:created xsi:type="dcterms:W3CDTF">2022-06-23T07:28:00Z</dcterms:created>
  <dcterms:modified xsi:type="dcterms:W3CDTF">2022-07-13T07:49:00Z</dcterms:modified>
</cp:coreProperties>
</file>