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0483284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proofErr w:type="spellStart"/>
      <w:r w:rsidR="00245F03">
        <w:rPr>
          <w:rFonts w:ascii="Arial" w:hAnsi="Arial" w:cs="Arial"/>
          <w:sz w:val="20"/>
        </w:rPr>
        <w:t>SVAMAN</w:t>
      </w:r>
      <w:proofErr w:type="spellEnd"/>
      <w:r w:rsidR="00245F03">
        <w:rPr>
          <w:rFonts w:ascii="Arial" w:hAnsi="Arial" w:cs="Arial"/>
          <w:sz w:val="20"/>
        </w:rPr>
        <w:t xml:space="preserve">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558A698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Brezovská cesta 449/18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31103511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Myjava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C48DF3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 xml:space="preserve">Ing. Milan </w:t>
      </w:r>
      <w:proofErr w:type="spellStart"/>
      <w:r w:rsidR="00245F03">
        <w:rPr>
          <w:rFonts w:ascii="Arial" w:hAnsi="Arial" w:cs="Arial"/>
          <w:sz w:val="20"/>
        </w:rPr>
        <w:t>Majtán</w:t>
      </w:r>
      <w:proofErr w:type="spellEnd"/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3766DD9D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31103511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30C5B13B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2020375049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5ED5CF6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proofErr w:type="spellStart"/>
      <w:r w:rsidRPr="00B37D6C">
        <w:rPr>
          <w:rFonts w:ascii="Arial" w:hAnsi="Arial" w:cs="Arial"/>
          <w:sz w:val="20"/>
        </w:rPr>
        <w:t>IČ</w:t>
      </w:r>
      <w:proofErr w:type="spellEnd"/>
      <w:r w:rsidRPr="00B37D6C">
        <w:rPr>
          <w:rFonts w:ascii="Arial" w:hAnsi="Arial" w:cs="Arial"/>
          <w:sz w:val="20"/>
        </w:rPr>
        <w:t xml:space="preserve"> DPH:  </w:t>
      </w:r>
      <w:r w:rsidRPr="00B37D6C">
        <w:rPr>
          <w:rFonts w:ascii="Arial" w:hAnsi="Arial" w:cs="Arial"/>
          <w:sz w:val="20"/>
        </w:rPr>
        <w:tab/>
      </w:r>
      <w:proofErr w:type="spellStart"/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2020375049</w:t>
      </w:r>
      <w:proofErr w:type="spellEnd"/>
      <w:r w:rsidR="00BB446D">
        <w:rPr>
          <w:rFonts w:ascii="Arial" w:hAnsi="Arial" w:cs="Arial"/>
          <w:sz w:val="20"/>
        </w:rPr>
        <w:fldChar w:fldCharType="end"/>
      </w:r>
    </w:p>
    <w:p w14:paraId="7499DA68" w14:textId="5B7C960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ObstaravtelIBAN  \* MERGEFORMAT </w:instrText>
      </w:r>
      <w:r w:rsidR="00BB446D">
        <w:rPr>
          <w:rFonts w:ascii="Arial" w:hAnsi="Arial" w:cs="Arial"/>
          <w:sz w:val="20"/>
        </w:rPr>
        <w:fldChar w:fldCharType="separate"/>
      </w:r>
      <w:proofErr w:type="spellStart"/>
      <w:r w:rsidR="00245F03">
        <w:rPr>
          <w:rFonts w:ascii="Arial" w:hAnsi="Arial" w:cs="Arial"/>
          <w:sz w:val="20"/>
        </w:rPr>
        <w:t>SK64</w:t>
      </w:r>
      <w:proofErr w:type="spellEnd"/>
      <w:r w:rsidR="00245F03">
        <w:rPr>
          <w:rFonts w:ascii="Arial" w:hAnsi="Arial" w:cs="Arial"/>
          <w:sz w:val="20"/>
        </w:rPr>
        <w:t xml:space="preserve"> 0200 0000 0000 4060 0182</w:t>
      </w:r>
      <w:r w:rsidR="00BB446D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C42CE1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45F03">
        <w:rPr>
          <w:rFonts w:ascii="Arial" w:hAnsi="Arial" w:cs="Arial"/>
          <w:b/>
          <w:bCs/>
          <w:sz w:val="20"/>
          <w:szCs w:val="20"/>
        </w:rPr>
        <w:t xml:space="preserve">Nákladné vozidlo </w:t>
      </w:r>
      <w:proofErr w:type="spellStart"/>
      <w:r w:rsidR="00245F03">
        <w:rPr>
          <w:rFonts w:ascii="Arial" w:hAnsi="Arial" w:cs="Arial"/>
          <w:b/>
          <w:bCs/>
          <w:sz w:val="20"/>
          <w:szCs w:val="20"/>
        </w:rPr>
        <w:t>N3</w:t>
      </w:r>
      <w:proofErr w:type="spellEnd"/>
      <w:r w:rsidR="00245F03">
        <w:rPr>
          <w:rFonts w:ascii="Arial" w:hAnsi="Arial" w:cs="Arial"/>
          <w:b/>
          <w:bCs/>
          <w:sz w:val="20"/>
          <w:szCs w:val="20"/>
        </w:rPr>
        <w:t xml:space="preserve"> s mraziarenskou nadstavbou s agregátom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C98AEF4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do 3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356DCC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Brezovská cesta 449/18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907 01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245F03">
        <w:rPr>
          <w:rFonts w:ascii="Arial" w:hAnsi="Arial" w:cs="Arial"/>
          <w:sz w:val="20"/>
        </w:rPr>
        <w:t>Myjava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7C008D63" w14:textId="77777777" w:rsidR="00253B98" w:rsidRDefault="00253B98" w:rsidP="00C80BE5">
      <w:pPr>
        <w:rPr>
          <w:rFonts w:ascii="Arial" w:hAnsi="Arial" w:cs="Arial"/>
          <w:b/>
          <w:sz w:val="20"/>
          <w:szCs w:val="20"/>
        </w:rPr>
      </w:pPr>
    </w:p>
    <w:p w14:paraId="3C3D079A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0C596382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C4B2D6B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1A4EBE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39CC680B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F03">
              <w:rPr>
                <w:rFonts w:ascii="Arial" w:hAnsi="Arial" w:cs="Arial"/>
                <w:sz w:val="20"/>
                <w:szCs w:val="20"/>
              </w:rPr>
              <w:t xml:space="preserve">Nákladné vozidlo </w:t>
            </w:r>
            <w:proofErr w:type="spellStart"/>
            <w:r w:rsidR="00245F03">
              <w:rPr>
                <w:rFonts w:ascii="Arial" w:hAnsi="Arial" w:cs="Arial"/>
                <w:sz w:val="20"/>
                <w:szCs w:val="20"/>
              </w:rPr>
              <w:t>N3</w:t>
            </w:r>
            <w:proofErr w:type="spellEnd"/>
            <w:r w:rsidR="00245F03">
              <w:rPr>
                <w:rFonts w:ascii="Arial" w:hAnsi="Arial" w:cs="Arial"/>
                <w:sz w:val="20"/>
                <w:szCs w:val="20"/>
              </w:rPr>
              <w:t xml:space="preserve"> s mraziarenskou nadstavbou s agregátom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0E0CF4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25958EA1" w:rsidR="00C142C4" w:rsidRPr="000955A7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Pr="000955A7">
        <w:rPr>
          <w:rFonts w:ascii="Arial" w:hAnsi="Arial" w:cs="Arial"/>
          <w:sz w:val="20"/>
        </w:rPr>
        <w:t>výšky 20 % z ceny predmetu zákazky, ak o to predávajúci požiada</w:t>
      </w:r>
      <w:r w:rsidR="00961508" w:rsidRPr="000955A7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Splatnosť f</w:t>
      </w:r>
      <w:r w:rsidR="00D7079A" w:rsidRPr="000955A7">
        <w:rPr>
          <w:rFonts w:ascii="Arial" w:hAnsi="Arial" w:cs="Arial"/>
          <w:sz w:val="20"/>
        </w:rPr>
        <w:t xml:space="preserve">aktúr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C80BE5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FE027BD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245F03">
        <w:rPr>
          <w:rFonts w:ascii="Arial" w:hAnsi="Arial" w:cs="Arial"/>
          <w:sz w:val="20"/>
          <w:szCs w:val="20"/>
        </w:rPr>
        <w:t xml:space="preserve">Ing. Milan </w:t>
      </w:r>
      <w:proofErr w:type="spellStart"/>
      <w:r w:rsidR="00245F03">
        <w:rPr>
          <w:rFonts w:ascii="Arial" w:hAnsi="Arial" w:cs="Arial"/>
          <w:sz w:val="20"/>
          <w:szCs w:val="20"/>
        </w:rPr>
        <w:t>Majtán</w:t>
      </w:r>
      <w:proofErr w:type="spellEnd"/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75B0D547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245F03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90EB" w14:textId="77777777" w:rsidR="006F6A74" w:rsidRDefault="006F6A74">
      <w:r>
        <w:separator/>
      </w:r>
    </w:p>
  </w:endnote>
  <w:endnote w:type="continuationSeparator" w:id="0">
    <w:p w14:paraId="1E7330D3" w14:textId="77777777" w:rsidR="006F6A74" w:rsidRDefault="006F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D7079A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C635" w14:textId="77777777" w:rsidR="006F6A74" w:rsidRDefault="006F6A74">
      <w:r>
        <w:separator/>
      </w:r>
    </w:p>
  </w:footnote>
  <w:footnote w:type="continuationSeparator" w:id="0">
    <w:p w14:paraId="68F678FF" w14:textId="77777777" w:rsidR="006F6A74" w:rsidRDefault="006F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8246160">
    <w:abstractNumId w:val="10"/>
  </w:num>
  <w:num w:numId="2" w16cid:durableId="809590784">
    <w:abstractNumId w:val="2"/>
  </w:num>
  <w:num w:numId="3" w16cid:durableId="1349869877">
    <w:abstractNumId w:val="16"/>
  </w:num>
  <w:num w:numId="4" w16cid:durableId="26227300">
    <w:abstractNumId w:val="8"/>
  </w:num>
  <w:num w:numId="5" w16cid:durableId="2102288683">
    <w:abstractNumId w:val="15"/>
  </w:num>
  <w:num w:numId="6" w16cid:durableId="1370492859">
    <w:abstractNumId w:val="6"/>
  </w:num>
  <w:num w:numId="7" w16cid:durableId="734548908">
    <w:abstractNumId w:val="7"/>
  </w:num>
  <w:num w:numId="8" w16cid:durableId="1211067276">
    <w:abstractNumId w:val="24"/>
  </w:num>
  <w:num w:numId="9" w16cid:durableId="1544094665">
    <w:abstractNumId w:val="25"/>
  </w:num>
  <w:num w:numId="10" w16cid:durableId="2065638142">
    <w:abstractNumId w:val="9"/>
  </w:num>
  <w:num w:numId="11" w16cid:durableId="2134399027">
    <w:abstractNumId w:val="5"/>
  </w:num>
  <w:num w:numId="12" w16cid:durableId="1062678597">
    <w:abstractNumId w:val="18"/>
  </w:num>
  <w:num w:numId="13" w16cid:durableId="967324612">
    <w:abstractNumId w:val="20"/>
  </w:num>
  <w:num w:numId="14" w16cid:durableId="1793787565">
    <w:abstractNumId w:val="12"/>
  </w:num>
  <w:num w:numId="15" w16cid:durableId="1581715008">
    <w:abstractNumId w:val="3"/>
  </w:num>
  <w:num w:numId="16" w16cid:durableId="1028601421">
    <w:abstractNumId w:val="23"/>
  </w:num>
  <w:num w:numId="17" w16cid:durableId="125394271">
    <w:abstractNumId w:val="17"/>
  </w:num>
  <w:num w:numId="18" w16cid:durableId="2091464420">
    <w:abstractNumId w:val="19"/>
  </w:num>
  <w:num w:numId="19" w16cid:durableId="1573345014">
    <w:abstractNumId w:val="0"/>
  </w:num>
  <w:num w:numId="20" w16cid:durableId="1462461213">
    <w:abstractNumId w:val="26"/>
  </w:num>
  <w:num w:numId="21" w16cid:durableId="2025085005">
    <w:abstractNumId w:val="22"/>
  </w:num>
  <w:num w:numId="22" w16cid:durableId="955214177">
    <w:abstractNumId w:val="14"/>
  </w:num>
  <w:num w:numId="23" w16cid:durableId="1045058797">
    <w:abstractNumId w:val="13"/>
  </w:num>
  <w:num w:numId="24" w16cid:durableId="1523586711">
    <w:abstractNumId w:val="1"/>
  </w:num>
  <w:num w:numId="25" w16cid:durableId="622806698">
    <w:abstractNumId w:val="21"/>
  </w:num>
  <w:num w:numId="26" w16cid:durableId="1724518938">
    <w:abstractNumId w:val="4"/>
  </w:num>
  <w:num w:numId="27" w16cid:durableId="19674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A228A"/>
    <w:rsid w:val="001E622D"/>
    <w:rsid w:val="00227879"/>
    <w:rsid w:val="00245F03"/>
    <w:rsid w:val="00253B98"/>
    <w:rsid w:val="0025634D"/>
    <w:rsid w:val="00311512"/>
    <w:rsid w:val="003956B2"/>
    <w:rsid w:val="003B0949"/>
    <w:rsid w:val="003C03A8"/>
    <w:rsid w:val="00524F1F"/>
    <w:rsid w:val="00564742"/>
    <w:rsid w:val="00595D3F"/>
    <w:rsid w:val="006810DC"/>
    <w:rsid w:val="006851AC"/>
    <w:rsid w:val="006D0A49"/>
    <w:rsid w:val="006E3172"/>
    <w:rsid w:val="006F2961"/>
    <w:rsid w:val="006F6A74"/>
    <w:rsid w:val="00782858"/>
    <w:rsid w:val="007C08AD"/>
    <w:rsid w:val="00863E7F"/>
    <w:rsid w:val="0092308B"/>
    <w:rsid w:val="0095438F"/>
    <w:rsid w:val="00961508"/>
    <w:rsid w:val="00976491"/>
    <w:rsid w:val="00992CA4"/>
    <w:rsid w:val="00A04BCF"/>
    <w:rsid w:val="00A36D6D"/>
    <w:rsid w:val="00A43522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B7D82"/>
    <w:rsid w:val="00CE58D4"/>
    <w:rsid w:val="00D56094"/>
    <w:rsid w:val="00D7079A"/>
    <w:rsid w:val="00DC2733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017D-957B-4C39-9CC2-ACF89801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1131</Words>
  <Characters>7399</Characters>
  <Application>Microsoft Office Word</Application>
  <DocSecurity>0</DocSecurity>
  <Lines>238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7</cp:revision>
  <cp:lastPrinted>2019-02-06T16:14:00Z</cp:lastPrinted>
  <dcterms:created xsi:type="dcterms:W3CDTF">2022-05-25T02:36:00Z</dcterms:created>
  <dcterms:modified xsi:type="dcterms:W3CDTF">2022-05-25T11:43:00Z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sutaze\PPA\SWAMAN\VO\VARIABLES_PPA_VO.xlsx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SVAMAN spol. s r.o.</vt:lpwstr>
  </property>
  <property fmtid="{D5CDD505-2E9C-101B-9397-08002B2CF9AE}" pid="15" name="ObstaravatelUlicaCislo">
    <vt:lpwstr>Brezovská cesta 449/18</vt:lpwstr>
  </property>
  <property fmtid="{D5CDD505-2E9C-101B-9397-08002B2CF9AE}" pid="16" name="ObstaravatelMesto">
    <vt:lpwstr>Myjava</vt:lpwstr>
  </property>
  <property fmtid="{D5CDD505-2E9C-101B-9397-08002B2CF9AE}" pid="17" name="ObstaravatelPSC">
    <vt:lpwstr>907 01</vt:lpwstr>
  </property>
  <property fmtid="{D5CDD505-2E9C-101B-9397-08002B2CF9AE}" pid="18" name="ObstaravatelICO">
    <vt:lpwstr>31103511</vt:lpwstr>
  </property>
  <property fmtid="{D5CDD505-2E9C-101B-9397-08002B2CF9AE}" pid="19" name="ObstaravatelDIC">
    <vt:lpwstr>2020375049</vt:lpwstr>
  </property>
  <property fmtid="{D5CDD505-2E9C-101B-9397-08002B2CF9AE}" pid="20" name="StatutarnyOrgan">
    <vt:lpwstr>Ing. Milan Majtán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Nákladné vozidlo N3 s mraziarenskou nadstavbou s agregátom</vt:lpwstr>
  </property>
  <property fmtid="{D5CDD505-2E9C-101B-9397-08002B2CF9AE}" pid="23" name="NazovProjektu">
    <vt:lpwstr>Investícia do vozového parku spoločnosti SVAMAN spol. s r.o.</vt:lpwstr>
  </property>
  <property fmtid="{D5CDD505-2E9C-101B-9397-08002B2CF9AE}" pid="24" name="PredmetZakazky1">
    <vt:lpwstr>Nákladné vozidlo N3 s mraziarenskou nadstavbou s agregátom - 1ks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SK64 0200 0000 0000 4060 0182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0908905031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34136000-9  Dodávkové automobily</vt:lpwstr>
  </property>
  <property fmtid="{D5CDD505-2E9C-101B-9397-08002B2CF9AE}" pid="40" name="MiestoDodaniaUlicaCislo">
    <vt:lpwstr>Brezovská cesta 449/18</vt:lpwstr>
  </property>
  <property fmtid="{D5CDD505-2E9C-101B-9397-08002B2CF9AE}" pid="41" name="MiestoDodaniaPSC">
    <vt:lpwstr>907 01</vt:lpwstr>
  </property>
  <property fmtid="{D5CDD505-2E9C-101B-9397-08002B2CF9AE}" pid="42" name="MiestoDodaniaObec">
    <vt:lpwstr>Myjava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221400,5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257421,5</vt:lpwstr>
  </property>
  <property fmtid="{D5CDD505-2E9C-101B-9397-08002B2CF9AE}" pid="52" name="PHZbezDPH">
    <vt:lpwstr>151880</vt:lpwstr>
  </property>
  <property fmtid="{D5CDD505-2E9C-101B-9397-08002B2CF9AE}" pid="53" name="PHZsDPH">
    <vt:lpwstr>182256</vt:lpwstr>
  </property>
</Properties>
</file>