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A6" w:rsidRPr="00F15868" w:rsidRDefault="008B51A6" w:rsidP="008B51A6">
      <w:pPr>
        <w:keepLines/>
        <w:tabs>
          <w:tab w:val="left" w:pos="690"/>
          <w:tab w:val="center" w:pos="4536"/>
        </w:tabs>
        <w:jc w:val="center"/>
        <w:rPr>
          <w:rFonts w:ascii="Arial Narrow" w:hAnsi="Arial Narrow"/>
          <w:sz w:val="32"/>
          <w:szCs w:val="32"/>
        </w:rPr>
      </w:pPr>
      <w:r w:rsidRPr="00F15868">
        <w:rPr>
          <w:rFonts w:ascii="Arial Narrow" w:hAnsi="Arial Narrow"/>
          <w:sz w:val="32"/>
          <w:szCs w:val="32"/>
        </w:rPr>
        <w:t>MINISTERSTVO VNÚTRA SLOVENSKEJ REPUBLIKY</w:t>
      </w:r>
    </w:p>
    <w:p w:rsidR="008B51A6" w:rsidRPr="00F15868" w:rsidRDefault="008B51A6" w:rsidP="008B51A6">
      <w:pPr>
        <w:keepLines/>
        <w:jc w:val="center"/>
        <w:rPr>
          <w:rFonts w:ascii="Arial Narrow" w:hAnsi="Arial Narrow"/>
          <w:sz w:val="28"/>
          <w:szCs w:val="28"/>
        </w:rPr>
      </w:pPr>
    </w:p>
    <w:p w:rsidR="008B51A6" w:rsidRPr="00F15868" w:rsidRDefault="008B51A6" w:rsidP="008B51A6">
      <w:pPr>
        <w:keepLines/>
        <w:jc w:val="center"/>
        <w:rPr>
          <w:rFonts w:ascii="Arial Narrow" w:hAnsi="Arial Narrow"/>
          <w:b w:val="0"/>
          <w:sz w:val="24"/>
          <w:szCs w:val="24"/>
        </w:rPr>
      </w:pPr>
      <w:r w:rsidRPr="00F15868">
        <w:rPr>
          <w:rFonts w:ascii="Arial Narrow" w:hAnsi="Arial Narrow"/>
          <w:b w:val="0"/>
          <w:sz w:val="28"/>
          <w:szCs w:val="28"/>
        </w:rPr>
        <w:t xml:space="preserve">Centrum </w:t>
      </w:r>
      <w:proofErr w:type="spellStart"/>
      <w:r w:rsidRPr="00F15868">
        <w:rPr>
          <w:rFonts w:ascii="Arial Narrow" w:hAnsi="Arial Narrow"/>
          <w:b w:val="0"/>
          <w:sz w:val="28"/>
          <w:szCs w:val="28"/>
        </w:rPr>
        <w:t>podpory</w:t>
      </w:r>
      <w:proofErr w:type="spellEnd"/>
      <w:r w:rsidRPr="00F15868">
        <w:rPr>
          <w:rFonts w:ascii="Arial Narrow" w:hAnsi="Arial Narrow"/>
          <w:b w:val="0"/>
          <w:sz w:val="28"/>
          <w:szCs w:val="28"/>
        </w:rPr>
        <w:t xml:space="preserve"> </w:t>
      </w:r>
      <w:proofErr w:type="spellStart"/>
      <w:r w:rsidRPr="00F15868">
        <w:rPr>
          <w:rFonts w:ascii="Arial Narrow" w:hAnsi="Arial Narrow"/>
          <w:b w:val="0"/>
          <w:sz w:val="28"/>
          <w:szCs w:val="28"/>
        </w:rPr>
        <w:t>Banská</w:t>
      </w:r>
      <w:proofErr w:type="spellEnd"/>
      <w:r w:rsidRPr="00F15868">
        <w:rPr>
          <w:rFonts w:ascii="Arial Narrow" w:hAnsi="Arial Narrow"/>
          <w:b w:val="0"/>
          <w:sz w:val="28"/>
          <w:szCs w:val="28"/>
        </w:rPr>
        <w:t xml:space="preserve"> Bystrica</w:t>
      </w:r>
    </w:p>
    <w:p w:rsidR="008B51A6" w:rsidRPr="00F15868" w:rsidRDefault="008B51A6" w:rsidP="008B51A6">
      <w:pPr>
        <w:keepLines/>
        <w:jc w:val="center"/>
        <w:rPr>
          <w:rFonts w:ascii="Arial Narrow" w:hAnsi="Arial Narrow"/>
          <w:b w:val="0"/>
          <w:sz w:val="24"/>
          <w:szCs w:val="24"/>
        </w:rPr>
      </w:pPr>
      <w:r w:rsidRPr="00F15868">
        <w:rPr>
          <w:rFonts w:ascii="Arial Narrow" w:hAnsi="Arial Narrow"/>
          <w:b w:val="0"/>
          <w:sz w:val="24"/>
          <w:szCs w:val="24"/>
        </w:rPr>
        <w:t xml:space="preserve">9. </w:t>
      </w:r>
      <w:proofErr w:type="spellStart"/>
      <w:proofErr w:type="gramStart"/>
      <w:r w:rsidRPr="00F15868">
        <w:rPr>
          <w:rFonts w:ascii="Arial Narrow" w:hAnsi="Arial Narrow"/>
          <w:b w:val="0"/>
          <w:sz w:val="24"/>
          <w:szCs w:val="24"/>
        </w:rPr>
        <w:t>mája</w:t>
      </w:r>
      <w:proofErr w:type="spellEnd"/>
      <w:proofErr w:type="gramEnd"/>
      <w:r w:rsidRPr="00F15868">
        <w:rPr>
          <w:rFonts w:ascii="Arial Narrow" w:hAnsi="Arial Narrow"/>
          <w:b w:val="0"/>
          <w:sz w:val="24"/>
          <w:szCs w:val="24"/>
        </w:rPr>
        <w:t xml:space="preserve"> č. 1, 974 86 </w:t>
      </w:r>
      <w:proofErr w:type="spellStart"/>
      <w:r w:rsidRPr="00F15868">
        <w:rPr>
          <w:rFonts w:ascii="Arial Narrow" w:hAnsi="Arial Narrow"/>
          <w:b w:val="0"/>
          <w:sz w:val="24"/>
          <w:szCs w:val="24"/>
        </w:rPr>
        <w:t>Banská</w:t>
      </w:r>
      <w:proofErr w:type="spellEnd"/>
      <w:r w:rsidRPr="00F15868">
        <w:rPr>
          <w:rFonts w:ascii="Arial Narrow" w:hAnsi="Arial Narrow"/>
          <w:b w:val="0"/>
          <w:sz w:val="24"/>
          <w:szCs w:val="24"/>
        </w:rPr>
        <w:t xml:space="preserve"> Bystrica</w:t>
      </w:r>
    </w:p>
    <w:p w:rsidR="008B51A6" w:rsidRPr="00F15868" w:rsidRDefault="00823669" w:rsidP="008B51A6">
      <w:pPr>
        <w:keepLines/>
        <w:jc w:val="center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D63123" w:rsidRPr="00F15868" w:rsidRDefault="008B51A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Č. </w:t>
      </w:r>
      <w:r w:rsidR="00AA724E">
        <w:rPr>
          <w:rFonts w:ascii="Arial Narrow" w:hAnsi="Arial Narrow"/>
          <w:b w:val="0"/>
          <w:sz w:val="22"/>
          <w:szCs w:val="22"/>
          <w:lang w:val="sk-SK"/>
        </w:rPr>
        <w:t>p. :  CPBB-OMTZ-2022/001535-003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ab/>
        <w:t xml:space="preserve">     </w:t>
      </w:r>
      <w:r w:rsidR="00AA724E">
        <w:rPr>
          <w:rFonts w:ascii="Arial Narrow" w:hAnsi="Arial Narrow"/>
          <w:b w:val="0"/>
          <w:sz w:val="22"/>
          <w:szCs w:val="22"/>
          <w:lang w:val="sk-SK"/>
        </w:rPr>
        <w:t xml:space="preserve">              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>V Banskej Bystrici, 27.05.2022</w:t>
      </w:r>
    </w:p>
    <w:p w:rsidR="00D63123" w:rsidRPr="00F15868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F15868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F15868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F15868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F15868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F15868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F15868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F15868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F15868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F15868">
        <w:rPr>
          <w:rFonts w:ascii="Arial Narrow" w:hAnsi="Arial Narrow"/>
          <w:szCs w:val="22"/>
        </w:rPr>
        <w:t>I. N</w:t>
      </w:r>
      <w:r w:rsidR="004A36A4" w:rsidRPr="00F15868">
        <w:rPr>
          <w:rFonts w:ascii="Arial Narrow" w:hAnsi="Arial Narrow"/>
          <w:smallCaps/>
          <w:szCs w:val="22"/>
        </w:rPr>
        <w:t>ázov</w:t>
      </w:r>
      <w:r w:rsidRPr="00F15868">
        <w:rPr>
          <w:rFonts w:ascii="Arial Narrow" w:hAnsi="Arial Narrow"/>
          <w:szCs w:val="22"/>
        </w:rPr>
        <w:t xml:space="preserve">, </w:t>
      </w:r>
      <w:r w:rsidR="004A36A4" w:rsidRPr="00F15868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F15868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Názov: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B51A6" w:rsidRPr="00F15868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Slovenskej, Centrum podpory Banská Bystrica</w:t>
      </w:r>
    </w:p>
    <w:p w:rsidR="00211E45" w:rsidRPr="00F15868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F15868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B51A6" w:rsidRPr="00F15868">
        <w:rPr>
          <w:rFonts w:ascii="Arial Narrow" w:hAnsi="Arial Narrow"/>
          <w:b w:val="0"/>
          <w:sz w:val="22"/>
          <w:szCs w:val="22"/>
          <w:lang w:val="sk-SK"/>
        </w:rPr>
        <w:t>9. mája č. 1, 974 86 Banská Bystrica</w:t>
      </w:r>
    </w:p>
    <w:p w:rsidR="00211E45" w:rsidRPr="00F15868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Krajina: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F15868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F1586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F15868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B51A6" w:rsidRPr="00F15868">
        <w:rPr>
          <w:rFonts w:ascii="Arial Narrow" w:hAnsi="Arial Narrow"/>
          <w:b w:val="0"/>
          <w:sz w:val="22"/>
          <w:szCs w:val="22"/>
          <w:lang w:val="sk-SK"/>
        </w:rPr>
        <w:t>Mgr. Andrea Lačná</w:t>
      </w:r>
    </w:p>
    <w:p w:rsidR="00AF476D" w:rsidRPr="00F15868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Telefón:</w:t>
      </w:r>
      <w:r w:rsidR="008B51A6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451D">
        <w:rPr>
          <w:rFonts w:ascii="Arial Narrow" w:hAnsi="Arial Narrow"/>
          <w:b w:val="0"/>
          <w:sz w:val="22"/>
          <w:szCs w:val="22"/>
          <w:lang w:val="sk-SK"/>
        </w:rPr>
        <w:t xml:space="preserve">+421-0961 </w:t>
      </w:r>
      <w:r w:rsidR="00F7391A" w:rsidRPr="00F15868">
        <w:rPr>
          <w:rFonts w:ascii="Arial Narrow" w:hAnsi="Arial Narrow"/>
          <w:b w:val="0"/>
          <w:sz w:val="22"/>
          <w:szCs w:val="22"/>
          <w:lang w:val="sk-SK"/>
        </w:rPr>
        <w:t>60</w:t>
      </w:r>
      <w:r w:rsidR="0093451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391A" w:rsidRPr="00F15868">
        <w:rPr>
          <w:rFonts w:ascii="Arial Narrow" w:hAnsi="Arial Narrow"/>
          <w:b w:val="0"/>
          <w:sz w:val="22"/>
          <w:szCs w:val="22"/>
          <w:lang w:val="sk-SK"/>
        </w:rPr>
        <w:t>5477</w:t>
      </w:r>
    </w:p>
    <w:p w:rsidR="00211E45" w:rsidRPr="00F15868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E-mail: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391A" w:rsidRPr="00F15868">
        <w:rPr>
          <w:rFonts w:ascii="Arial Narrow" w:hAnsi="Arial Narrow"/>
          <w:b w:val="0"/>
          <w:sz w:val="22"/>
          <w:szCs w:val="22"/>
          <w:lang w:val="sk-SK"/>
        </w:rPr>
        <w:t>andrea.lacna@minv.sk</w:t>
      </w:r>
    </w:p>
    <w:p w:rsidR="009826A2" w:rsidRDefault="00B27AB6" w:rsidP="000A30CD">
      <w:pPr>
        <w:tabs>
          <w:tab w:val="right" w:leader="dot" w:pos="3960"/>
          <w:tab w:val="right" w:leader="dot" w:pos="7380"/>
          <w:tab w:val="right" w:leader="dot" w:pos="10080"/>
        </w:tabs>
        <w:jc w:val="both"/>
      </w:pPr>
      <w:r w:rsidRPr="00F15868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0A30CD" w:rsidRPr="000A30CD">
        <w:rPr>
          <w:rStyle w:val="Hypertextovprepojenie"/>
          <w:rFonts w:eastAsiaTheme="majorEastAsia"/>
        </w:rPr>
        <w:t>https://josephine.proebiz.com/sk/tender/24288/summary</w:t>
      </w:r>
      <w:bookmarkStart w:id="1" w:name="_GoBack"/>
      <w:bookmarkEnd w:id="1"/>
    </w:p>
    <w:p w:rsidR="004A36A4" w:rsidRPr="00F15868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F15868">
        <w:rPr>
          <w:rFonts w:ascii="Arial Narrow" w:hAnsi="Arial Narrow"/>
          <w:szCs w:val="22"/>
        </w:rPr>
        <w:t xml:space="preserve"> </w:t>
      </w:r>
    </w:p>
    <w:p w:rsidR="004A36A4" w:rsidRPr="00F15868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F15868">
        <w:rPr>
          <w:rFonts w:ascii="Arial Narrow" w:hAnsi="Arial Narrow"/>
          <w:szCs w:val="22"/>
        </w:rPr>
        <w:t xml:space="preserve">II. </w:t>
      </w:r>
      <w:r w:rsidR="004A36A4" w:rsidRPr="00F15868">
        <w:rPr>
          <w:rFonts w:ascii="Arial Narrow" w:hAnsi="Arial Narrow"/>
          <w:smallCaps/>
          <w:szCs w:val="22"/>
        </w:rPr>
        <w:t>Opis</w:t>
      </w:r>
    </w:p>
    <w:p w:rsidR="00211E45" w:rsidRPr="00F15868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F15868" w:rsidRDefault="00F7391A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>Zabezpečenie špeciálneho MTZ (náhradné diely, materiál dozimetrickej techniky)</w:t>
      </w:r>
    </w:p>
    <w:p w:rsidR="00DD4EEC" w:rsidRPr="00F15868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Druh zákazky: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391A" w:rsidRPr="00F15868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:rsidR="00F7391A" w:rsidRPr="00F15868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F15868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:rsidR="00F7391A" w:rsidRPr="00F15868" w:rsidRDefault="00F7391A" w:rsidP="00F7391A">
      <w:pPr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38341400-1 </w:t>
      </w:r>
      <w:proofErr w:type="spellStart"/>
      <w:r w:rsidRPr="00F15868">
        <w:rPr>
          <w:rFonts w:ascii="Arial Narrow" w:hAnsi="Arial Narrow"/>
          <w:b w:val="0"/>
          <w:sz w:val="22"/>
          <w:szCs w:val="22"/>
          <w:lang w:val="sk-SK"/>
        </w:rPr>
        <w:t>Geigerove</w:t>
      </w:r>
      <w:proofErr w:type="spellEnd"/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počítadlá</w:t>
      </w:r>
    </w:p>
    <w:p w:rsidR="00DD4EEC" w:rsidRPr="00F15868" w:rsidRDefault="00F7391A" w:rsidP="00CA2E56">
      <w:pPr>
        <w:rPr>
          <w:rFonts w:ascii="Arial Narrow" w:hAnsi="Arial Narrow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sz w:val="22"/>
          <w:szCs w:val="22"/>
          <w:lang w:val="sk-SK"/>
        </w:rPr>
        <w:t>38945000-7 Merače žiarenia gama</w:t>
      </w:r>
      <w:r w:rsidR="00E31BEC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F15868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F15868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F15868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F15868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F15868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F15868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F7391A" w:rsidRPr="00F15868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D94660" w:rsidRPr="00F15868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 xml:space="preserve">Hlavné miesto </w:t>
      </w:r>
      <w:r w:rsidR="00F15868" w:rsidRPr="00F15868">
        <w:rPr>
          <w:rFonts w:ascii="Arial Narrow" w:hAnsi="Arial Narrow"/>
          <w:sz w:val="22"/>
          <w:szCs w:val="22"/>
          <w:lang w:val="sk-SK"/>
        </w:rPr>
        <w:t>dodania tovaru</w:t>
      </w:r>
      <w:r w:rsidRPr="00F15868">
        <w:rPr>
          <w:rFonts w:ascii="Arial Narrow" w:hAnsi="Arial Narrow"/>
          <w:sz w:val="22"/>
          <w:szCs w:val="22"/>
          <w:lang w:val="sk-SK"/>
        </w:rPr>
        <w:t>:</w:t>
      </w:r>
      <w:r w:rsidRPr="00F158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F15868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15868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F15868" w:rsidRPr="00F1586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– Centrum podpory Banská Bystrica, 9. mája č. 1, 974 86 Banská Bystrica </w:t>
      </w:r>
      <w:r w:rsidRPr="00F1586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D94660" w:rsidRPr="00F15868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F15868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F15868" w:rsidRDefault="003918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august</w:t>
      </w:r>
      <w:r w:rsidR="00F15868" w:rsidRPr="00F1586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2022</w:t>
      </w:r>
    </w:p>
    <w:p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03A4A" w:rsidRDefault="00F15868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Zabezpečenie špeciálneho MTZ (náhradné diely, materiál dozimetrickej techniky)</w:t>
      </w:r>
      <w:r w:rsidR="00403A4A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403A4A" w:rsidRDefault="00403A4A" w:rsidP="00403A4A">
      <w:pPr>
        <w:pStyle w:val="Odsekzoznamu"/>
        <w:numPr>
          <w:ilvl w:val="0"/>
          <w:numId w:val="18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GM trubice typu SBT-10 na rádiometer DC-3E-98 civilnej ochrany v počte 65 kusov;</w:t>
      </w:r>
    </w:p>
    <w:p w:rsidR="00403A4A" w:rsidRPr="00403A4A" w:rsidRDefault="00403A4A" w:rsidP="00403A4A">
      <w:pPr>
        <w:pStyle w:val="Odsekzoznamu"/>
        <w:numPr>
          <w:ilvl w:val="0"/>
          <w:numId w:val="19"/>
        </w:numPr>
        <w:spacing w:line="16" w:lineRule="atLeast"/>
        <w:jc w:val="both"/>
        <w:rPr>
          <w:color w:val="000000"/>
        </w:rPr>
      </w:pP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Špeciálna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elektronická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meracia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jednotka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s 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detektorom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pre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nízke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úrovne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radiácie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LSP 1001/A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na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radiačné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sondy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DC-4D v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počte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25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kusov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>;</w:t>
      </w:r>
      <w:r w:rsidRPr="00403A4A">
        <w:rPr>
          <w:color w:val="000000"/>
        </w:rPr>
        <w:t xml:space="preserve"> </w:t>
      </w:r>
    </w:p>
    <w:p w:rsidR="00403A4A" w:rsidRPr="00403A4A" w:rsidRDefault="00403A4A" w:rsidP="00403A4A">
      <w:pPr>
        <w:pStyle w:val="Odsekzoznamu"/>
        <w:numPr>
          <w:ilvl w:val="0"/>
          <w:numId w:val="18"/>
        </w:numPr>
        <w:spacing w:line="16" w:lineRule="atLeast"/>
        <w:jc w:val="both"/>
        <w:rPr>
          <w:rFonts w:ascii="Arial Narrow" w:hAnsi="Arial Narrow"/>
          <w:b w:val="0"/>
          <w:color w:val="000000"/>
          <w:sz w:val="22"/>
          <w:szCs w:val="22"/>
        </w:rPr>
      </w:pP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Špeciálna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elektronická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meracia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jednotka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s 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detektormi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pre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vysoké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úrovne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radiácie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HSP 1100/A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na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radiačné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sondy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DC-4D</w:t>
      </w:r>
      <w:r>
        <w:rPr>
          <w:rFonts w:ascii="Arial Narrow" w:hAnsi="Arial Narrow"/>
          <w:b w:val="0"/>
          <w:color w:val="000000"/>
          <w:sz w:val="22"/>
          <w:szCs w:val="22"/>
        </w:rPr>
        <w:t xml:space="preserve"> v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počte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25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kusov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>;</w:t>
      </w:r>
    </w:p>
    <w:p w:rsidR="00403A4A" w:rsidRPr="00403A4A" w:rsidRDefault="00403A4A" w:rsidP="00403A4A">
      <w:pPr>
        <w:pStyle w:val="Odsekzoznamu"/>
        <w:numPr>
          <w:ilvl w:val="0"/>
          <w:numId w:val="18"/>
        </w:numPr>
        <w:spacing w:line="16" w:lineRule="atLeast"/>
        <w:jc w:val="both"/>
        <w:rPr>
          <w:rFonts w:ascii="Arial Narrow" w:hAnsi="Arial Narrow"/>
          <w:b w:val="0"/>
          <w:color w:val="000000"/>
          <w:sz w:val="22"/>
          <w:szCs w:val="22"/>
        </w:rPr>
      </w:pP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Detektory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BPX-1001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na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stacionárne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automatické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hlásiče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úrovne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radiácie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monitorovacej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radiačnej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siete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civilnej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ochrany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DC-4D</w:t>
      </w:r>
      <w:r>
        <w:rPr>
          <w:rFonts w:ascii="Arial Narrow" w:hAnsi="Arial Narrow"/>
          <w:b w:val="0"/>
          <w:color w:val="000000"/>
          <w:sz w:val="22"/>
          <w:szCs w:val="22"/>
        </w:rPr>
        <w:t xml:space="preserve"> v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počte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30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kusov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>;</w:t>
      </w:r>
    </w:p>
    <w:p w:rsidR="00403A4A" w:rsidRDefault="00403A4A" w:rsidP="00403A4A">
      <w:pPr>
        <w:pStyle w:val="Odsekzoznamu"/>
        <w:numPr>
          <w:ilvl w:val="0"/>
          <w:numId w:val="18"/>
        </w:numPr>
        <w:spacing w:line="16" w:lineRule="atLeast"/>
        <w:jc w:val="both"/>
        <w:rPr>
          <w:rFonts w:ascii="Arial Narrow" w:hAnsi="Arial Narrow"/>
          <w:b w:val="0"/>
          <w:color w:val="000000"/>
          <w:sz w:val="22"/>
          <w:szCs w:val="22"/>
        </w:rPr>
      </w:pP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Detektory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BPX-1100 </w:t>
      </w:r>
      <w:proofErr w:type="spellStart"/>
      <w:proofErr w:type="gramStart"/>
      <w:r w:rsidRPr="00403A4A">
        <w:rPr>
          <w:rFonts w:ascii="Arial Narrow" w:hAnsi="Arial Narrow"/>
          <w:b w:val="0"/>
          <w:color w:val="000000"/>
          <w:sz w:val="22"/>
          <w:szCs w:val="22"/>
        </w:rPr>
        <w:t>na</w:t>
      </w:r>
      <w:proofErr w:type="spellEnd"/>
      <w:proofErr w:type="gram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stacionárne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automatické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hlásiče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úrovne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radiácie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monitorovacej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radiačnej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siete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civilnej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403A4A">
        <w:rPr>
          <w:rFonts w:ascii="Arial Narrow" w:hAnsi="Arial Narrow"/>
          <w:b w:val="0"/>
          <w:color w:val="000000"/>
          <w:sz w:val="22"/>
          <w:szCs w:val="22"/>
        </w:rPr>
        <w:t>ochrany</w:t>
      </w:r>
      <w:proofErr w:type="spellEnd"/>
      <w:r w:rsidRPr="00403A4A">
        <w:rPr>
          <w:rFonts w:ascii="Arial Narrow" w:hAnsi="Arial Narrow"/>
          <w:b w:val="0"/>
          <w:color w:val="000000"/>
          <w:sz w:val="22"/>
          <w:szCs w:val="22"/>
        </w:rPr>
        <w:t xml:space="preserve"> DC-4D</w:t>
      </w:r>
      <w:r>
        <w:rPr>
          <w:rFonts w:ascii="Arial Narrow" w:hAnsi="Arial Narrow"/>
          <w:b w:val="0"/>
          <w:color w:val="000000"/>
          <w:sz w:val="22"/>
          <w:szCs w:val="22"/>
        </w:rPr>
        <w:t xml:space="preserve"> v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počte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30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kusov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>.</w:t>
      </w:r>
    </w:p>
    <w:p w:rsidR="00403A4A" w:rsidRPr="00403A4A" w:rsidRDefault="00A9148D" w:rsidP="00403A4A">
      <w:pPr>
        <w:spacing w:line="16" w:lineRule="atLeast"/>
        <w:jc w:val="both"/>
        <w:rPr>
          <w:rFonts w:ascii="Arial Narrow" w:hAnsi="Arial Narrow"/>
          <w:b w:val="0"/>
          <w:color w:val="000000"/>
          <w:sz w:val="22"/>
          <w:szCs w:val="22"/>
        </w:rPr>
      </w:pP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Uvedené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náhradné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diely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sú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špecifické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potrebné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pre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kalibrácie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opravy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DT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 DC-3, DC-4 </w:t>
      </w:r>
      <w:proofErr w:type="spellStart"/>
      <w:proofErr w:type="gramStart"/>
      <w:r>
        <w:rPr>
          <w:rFonts w:ascii="Arial Narrow" w:hAnsi="Arial Narrow"/>
          <w:b w:val="0"/>
          <w:color w:val="000000"/>
          <w:sz w:val="22"/>
          <w:szCs w:val="22"/>
        </w:rPr>
        <w:t>a</w:t>
      </w:r>
      <w:proofErr w:type="spellEnd"/>
      <w:proofErr w:type="gramEnd"/>
      <w:r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color w:val="000000"/>
          <w:sz w:val="22"/>
          <w:szCs w:val="22"/>
        </w:rPr>
        <w:t>on</w:t>
      </w:r>
      <w:proofErr w:type="spellEnd"/>
      <w:r>
        <w:rPr>
          <w:rFonts w:ascii="Arial Narrow" w:hAnsi="Arial Narrow"/>
          <w:b w:val="0"/>
          <w:color w:val="000000"/>
          <w:sz w:val="22"/>
          <w:szCs w:val="22"/>
        </w:rPr>
        <w:t xml:space="preserve">-situ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servis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záložnej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radiačnej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monitorovacej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siete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MV SR </w:t>
      </w:r>
      <w:proofErr w:type="spellStart"/>
      <w:r w:rsidR="00391870">
        <w:rPr>
          <w:rFonts w:ascii="Arial Narrow" w:hAnsi="Arial Narrow"/>
          <w:b w:val="0"/>
          <w:color w:val="000000"/>
          <w:sz w:val="22"/>
          <w:szCs w:val="22"/>
        </w:rPr>
        <w:t>typu</w:t>
      </w:r>
      <w:proofErr w:type="spellEnd"/>
      <w:r w:rsidR="00391870">
        <w:rPr>
          <w:rFonts w:ascii="Arial Narrow" w:hAnsi="Arial Narrow"/>
          <w:b w:val="0"/>
          <w:color w:val="000000"/>
          <w:sz w:val="22"/>
          <w:szCs w:val="22"/>
        </w:rPr>
        <w:t xml:space="preserve"> DC-4.</w:t>
      </w:r>
    </w:p>
    <w:p w:rsidR="00403A4A" w:rsidRPr="00403A4A" w:rsidRDefault="00403A4A" w:rsidP="00403A4A">
      <w:pPr>
        <w:pStyle w:val="Odsekzoznamu"/>
        <w:spacing w:line="16" w:lineRule="atLeast"/>
        <w:jc w:val="both"/>
        <w:rPr>
          <w:rFonts w:ascii="Arial Narrow" w:hAnsi="Arial Narrow"/>
          <w:b w:val="0"/>
          <w:color w:val="000000"/>
          <w:sz w:val="22"/>
          <w:szCs w:val="22"/>
        </w:rPr>
      </w:pPr>
    </w:p>
    <w:p w:rsidR="00403A4A" w:rsidRPr="00403A4A" w:rsidRDefault="00403A4A" w:rsidP="00403A4A">
      <w:pPr>
        <w:pStyle w:val="Odsekzoznamu"/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03A4A" w:rsidRDefault="00403A4A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03A4A" w:rsidRDefault="00403A4A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03A4A" w:rsidRDefault="00403A4A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lastRenderedPageBreak/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D94660" w:rsidRPr="00B359CE" w:rsidRDefault="00391870" w:rsidP="0093451D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A60A4B" w:rsidRPr="00A60A4B">
        <w:rPr>
          <w:rFonts w:ascii="Arial Narrow" w:hAnsi="Arial Narrow"/>
          <w:szCs w:val="22"/>
        </w:rPr>
        <w:t>62 780,00</w:t>
      </w:r>
      <w:r w:rsidR="000E3F01" w:rsidRPr="00A60A4B">
        <w:rPr>
          <w:rFonts w:ascii="Arial Narrow" w:hAnsi="Arial Narrow"/>
          <w:szCs w:val="22"/>
        </w:rPr>
        <w:t xml:space="preserve"> EUR bez DPH</w:t>
      </w:r>
      <w:r w:rsidR="00A60A4B">
        <w:rPr>
          <w:rFonts w:ascii="Arial Narrow" w:hAnsi="Arial Narrow"/>
          <w:b w:val="0"/>
          <w:szCs w:val="22"/>
        </w:rPr>
        <w:t xml:space="preserve"> za celý predmet zákazky, vrátane dopravy na miesto určenia. 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A60A4B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A60A4B">
        <w:rPr>
          <w:rFonts w:ascii="Arial Narrow" w:hAnsi="Arial Narrow"/>
          <w:b w:val="0"/>
          <w:sz w:val="22"/>
          <w:szCs w:val="22"/>
          <w:lang w:val="sk-SK"/>
        </w:rPr>
        <w:t>e „Knižnica manuálov a odkazov“.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A60A4B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60A4B">
        <w:rPr>
          <w:rFonts w:ascii="Arial Narrow" w:hAnsi="Arial Narrow"/>
          <w:b w:val="0"/>
          <w:sz w:val="22"/>
          <w:szCs w:val="22"/>
          <w:lang w:val="sk-SK"/>
        </w:rPr>
        <w:t>08.06.2022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60A4B">
        <w:rPr>
          <w:rFonts w:ascii="Arial Narrow" w:hAnsi="Arial Narrow"/>
          <w:b w:val="0"/>
          <w:sz w:val="22"/>
          <w:szCs w:val="22"/>
          <w:lang w:val="sk-SK"/>
        </w:rPr>
        <w:t xml:space="preserve">do 12,00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883402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0B1601" w:rsidRPr="00B359CE" w:rsidRDefault="000B1601" w:rsidP="00020E39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7415" w:rsidRDefault="008A7415" w:rsidP="00020E39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3CCC">
        <w:rPr>
          <w:rFonts w:ascii="Arial Narrow" w:hAnsi="Arial Narrow"/>
          <w:b w:val="0"/>
          <w:sz w:val="22"/>
          <w:szCs w:val="22"/>
          <w:lang w:val="sk-SK"/>
        </w:rPr>
        <w:t>Doklad o oprávnení poskytovať službu</w:t>
      </w:r>
      <w:r w:rsidR="005437C7" w:rsidRPr="00ED3CCC">
        <w:rPr>
          <w:rFonts w:ascii="Arial Narrow" w:hAnsi="Arial Narrow"/>
          <w:b w:val="0"/>
          <w:sz w:val="22"/>
          <w:szCs w:val="22"/>
          <w:lang w:val="sk-SK"/>
        </w:rPr>
        <w:t>, dodávať tovary, uskutočňovať stavebné práce</w:t>
      </w:r>
      <w:r w:rsidRPr="00ED3CCC">
        <w:rPr>
          <w:rFonts w:ascii="Arial Narrow" w:hAnsi="Arial Narrow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:rsidR="00ED3CCC" w:rsidRDefault="00ED3CCC" w:rsidP="00020E39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Celá ponuka, doklady a dokumenty v nej predložené musia byť vyhotovené v slovenskom jazyku</w:t>
      </w:r>
      <w:r w:rsidR="00B32D61">
        <w:rPr>
          <w:rFonts w:ascii="Arial Narrow" w:hAnsi="Arial Narrow"/>
          <w:b w:val="0"/>
          <w:sz w:val="22"/>
          <w:szCs w:val="22"/>
          <w:lang w:val="sk-SK"/>
        </w:rPr>
        <w:t xml:space="preserve">. Uchádzač so sídlom mimo územia Slovenskej republiky predkladá ponuku v pôvodnom jazyku a súčasne predloží úradný preklad do slovenského jazyka okrem dokladov predložených v českom jazyku. </w:t>
      </w:r>
    </w:p>
    <w:p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B1601" w:rsidRPr="00B359CE" w:rsidRDefault="00020E3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Kritériu</w:t>
      </w:r>
      <w:r w:rsidR="00670E62">
        <w:rPr>
          <w:rFonts w:ascii="Arial Narrow" w:hAnsi="Arial Narrow"/>
          <w:b w:val="0"/>
          <w:sz w:val="22"/>
          <w:szCs w:val="22"/>
          <w:lang w:val="sk-SK" w:bidi="en-US"/>
        </w:rPr>
        <w:t xml:space="preserve">m na vyhodnotenie ponúk bude najnižšia cena s DPH za celý predmet zákazky. Ak uchádzač nie je platcom DPH, uvedie navrhovanú cenu celkom. Na skutočnosť, že nie je platcom DPH upozorní označením: „NIE SOM PLATCOM DPH“.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670E62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20E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020E39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</w:t>
      </w:r>
    </w:p>
    <w:p w:rsidR="0093575C" w:rsidRPr="00B359CE" w:rsidRDefault="00020E39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Predmet zákazky bude financovaný z rozpočtových prostriedkov pridelených na rok 2022.</w:t>
      </w:r>
      <w:r w:rsidR="0093575C"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:rsidR="0093575C" w:rsidRPr="00B359CE" w:rsidRDefault="0093575C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020E39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  <w:r w:rsidR="000E410A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="000E410A" w:rsidRPr="00B359CE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20E39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  <w:r w:rsidR="00020E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0E410A" w:rsidRPr="00B359CE" w:rsidRDefault="00020E39" w:rsidP="00020E3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</w:t>
      </w:r>
      <w:r w:rsidR="00020E39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0E39" w:rsidRDefault="000E410A" w:rsidP="00020E39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</w:t>
      </w:r>
      <w:r w:rsidR="00020E39">
        <w:rPr>
          <w:rFonts w:ascii="Arial Narrow" w:eastAsia="Calibri" w:hAnsi="Arial Narrow"/>
          <w:sz w:val="22"/>
          <w:szCs w:val="22"/>
          <w:lang w:val="sk-SK" w:eastAsia="en-US"/>
        </w:rPr>
        <w:t> Banskej Bystrici</w:t>
      </w:r>
      <w:r w:rsidR="004B0F3F"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 dňa</w:t>
      </w:r>
      <w:r w:rsidR="00020E39">
        <w:rPr>
          <w:rFonts w:ascii="Arial Narrow" w:eastAsia="Calibri" w:hAnsi="Arial Narrow"/>
          <w:sz w:val="22"/>
          <w:szCs w:val="22"/>
          <w:lang w:val="sk-SK" w:eastAsia="en-US"/>
        </w:rPr>
        <w:t xml:space="preserve"> 27.05.2022</w:t>
      </w:r>
    </w:p>
    <w:p w:rsidR="006668C4" w:rsidRDefault="006668C4" w:rsidP="00020E39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668C4" w:rsidRDefault="006668C4" w:rsidP="00020E39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  <w:t xml:space="preserve">       plk. Mgr. Simona Vanková</w:t>
      </w:r>
    </w:p>
    <w:p w:rsidR="006668C4" w:rsidRDefault="006668C4" w:rsidP="00020E39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  <w:t xml:space="preserve">           riaditeľka Centra podpory Banská Bystrica</w:t>
      </w:r>
    </w:p>
    <w:p w:rsidR="008C187F" w:rsidRDefault="008C187F" w:rsidP="00020E39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</w:r>
      <w:r>
        <w:rPr>
          <w:rFonts w:ascii="Arial Narrow" w:eastAsia="Calibri" w:hAnsi="Arial Narrow"/>
          <w:sz w:val="22"/>
          <w:szCs w:val="22"/>
          <w:lang w:val="sk-SK" w:eastAsia="en-US"/>
        </w:rPr>
        <w:tab/>
        <w:t xml:space="preserve">          v. r.</w:t>
      </w:r>
    </w:p>
    <w:p w:rsidR="002A45DE" w:rsidRPr="00B359CE" w:rsidRDefault="00321273" w:rsidP="006668C4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ind w:firstLine="708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</w:t>
      </w:r>
      <w:r w:rsidR="00020E39">
        <w:rPr>
          <w:rFonts w:ascii="Arial Narrow" w:hAnsi="Arial Narrow"/>
          <w:sz w:val="22"/>
          <w:szCs w:val="22"/>
          <w:lang w:val="sk-SK"/>
        </w:rPr>
        <w:t xml:space="preserve">                      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</w:t>
      </w:r>
      <w:r w:rsidR="006668C4">
        <w:rPr>
          <w:rFonts w:ascii="Arial Narrow" w:hAnsi="Arial Narrow"/>
          <w:sz w:val="22"/>
          <w:szCs w:val="22"/>
          <w:lang w:val="sk-SK"/>
        </w:rPr>
        <w:t>.........................................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:rsidR="00FD5709" w:rsidRPr="00B359CE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</w:t>
      </w:r>
      <w:r w:rsidR="00020E3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</w:t>
      </w:r>
      <w:r w:rsidR="00020E3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</w:t>
      </w:r>
      <w:r w:rsidR="006668C4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020E3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</w:t>
      </w:r>
      <w:r w:rsidR="006668C4">
        <w:rPr>
          <w:rFonts w:ascii="Arial Narrow" w:hAnsi="Arial Narrow"/>
          <w:b w:val="0"/>
          <w:sz w:val="22"/>
          <w:szCs w:val="22"/>
          <w:lang w:val="sk-SK" w:eastAsia="sk-SK"/>
        </w:rPr>
        <w:t>m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>eno a</w:t>
      </w:r>
      <w:r w:rsidR="006668C4">
        <w:rPr>
          <w:rFonts w:ascii="Arial Narrow" w:hAnsi="Arial Narrow"/>
          <w:b w:val="0"/>
          <w:sz w:val="22"/>
          <w:szCs w:val="22"/>
          <w:lang w:val="sk-SK" w:eastAsia="sk-SK"/>
        </w:rPr>
        <w:t> 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>priezvisko</w:t>
      </w:r>
      <w:r w:rsidR="006668C4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vedúceho zamestnanca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AE0C75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</w:t>
      </w:r>
      <w:r w:rsidR="00D217C1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</w:t>
      </w:r>
      <w:r w:rsidR="00D217C1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B359CE" w:rsidSect="002F5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69" w:rsidRDefault="00823669" w:rsidP="000F49C3">
      <w:r>
        <w:separator/>
      </w:r>
    </w:p>
  </w:endnote>
  <w:endnote w:type="continuationSeparator" w:id="0">
    <w:p w:rsidR="00823669" w:rsidRDefault="0082366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A30CD" w:rsidRPr="000A30CD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69" w:rsidRDefault="00823669" w:rsidP="000F49C3">
      <w:r>
        <w:separator/>
      </w:r>
    </w:p>
  </w:footnote>
  <w:footnote w:type="continuationSeparator" w:id="0">
    <w:p w:rsidR="00823669" w:rsidRDefault="00823669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2BB"/>
    <w:multiLevelType w:val="hybridMultilevel"/>
    <w:tmpl w:val="53204D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6759"/>
    <w:multiLevelType w:val="hybridMultilevel"/>
    <w:tmpl w:val="248EA718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C71"/>
    <w:multiLevelType w:val="hybridMultilevel"/>
    <w:tmpl w:val="669E179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46E6F"/>
    <w:multiLevelType w:val="hybridMultilevel"/>
    <w:tmpl w:val="F2428404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0E39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A30CD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2F32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19A0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1870"/>
    <w:rsid w:val="00395FB4"/>
    <w:rsid w:val="003A5661"/>
    <w:rsid w:val="003B01BB"/>
    <w:rsid w:val="003B5D65"/>
    <w:rsid w:val="003B5EA9"/>
    <w:rsid w:val="003C701C"/>
    <w:rsid w:val="003E454C"/>
    <w:rsid w:val="003F705C"/>
    <w:rsid w:val="00403A4A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4F63FF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668C4"/>
    <w:rsid w:val="00670E62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3669"/>
    <w:rsid w:val="00824EB7"/>
    <w:rsid w:val="00827EF0"/>
    <w:rsid w:val="008500C1"/>
    <w:rsid w:val="00870AEF"/>
    <w:rsid w:val="00877D99"/>
    <w:rsid w:val="00883402"/>
    <w:rsid w:val="00884C53"/>
    <w:rsid w:val="0088742C"/>
    <w:rsid w:val="008A7415"/>
    <w:rsid w:val="008B51A6"/>
    <w:rsid w:val="008B6B60"/>
    <w:rsid w:val="008C187F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451D"/>
    <w:rsid w:val="0093575C"/>
    <w:rsid w:val="009531DC"/>
    <w:rsid w:val="00954931"/>
    <w:rsid w:val="00965460"/>
    <w:rsid w:val="0098149A"/>
    <w:rsid w:val="009826A2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4499F"/>
    <w:rsid w:val="00A570E5"/>
    <w:rsid w:val="00A60A4B"/>
    <w:rsid w:val="00A6640B"/>
    <w:rsid w:val="00A74A4C"/>
    <w:rsid w:val="00A81FAF"/>
    <w:rsid w:val="00A86EE6"/>
    <w:rsid w:val="00A9148D"/>
    <w:rsid w:val="00A94EF8"/>
    <w:rsid w:val="00AA724E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2D61"/>
    <w:rsid w:val="00B359CE"/>
    <w:rsid w:val="00B46A0D"/>
    <w:rsid w:val="00B50C46"/>
    <w:rsid w:val="00B5458C"/>
    <w:rsid w:val="00B66531"/>
    <w:rsid w:val="00B77DD7"/>
    <w:rsid w:val="00B83BED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299B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B21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38A5"/>
    <w:rsid w:val="00ED08A4"/>
    <w:rsid w:val="00ED3CCC"/>
    <w:rsid w:val="00ED4F3F"/>
    <w:rsid w:val="00F13F64"/>
    <w:rsid w:val="00F15868"/>
    <w:rsid w:val="00F15F86"/>
    <w:rsid w:val="00F173A1"/>
    <w:rsid w:val="00F205E9"/>
    <w:rsid w:val="00F32E6A"/>
    <w:rsid w:val="00F42957"/>
    <w:rsid w:val="00F42CCB"/>
    <w:rsid w:val="00F564ED"/>
    <w:rsid w:val="00F67311"/>
    <w:rsid w:val="00F7391A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F261-C485-404E-B69C-5B9C4036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6841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Andrea Lačná</cp:lastModifiedBy>
  <cp:revision>14</cp:revision>
  <cp:lastPrinted>2016-04-15T09:22:00Z</cp:lastPrinted>
  <dcterms:created xsi:type="dcterms:W3CDTF">2022-05-26T08:02:00Z</dcterms:created>
  <dcterms:modified xsi:type="dcterms:W3CDTF">2022-05-27T09:02:00Z</dcterms:modified>
</cp:coreProperties>
</file>