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8227" w14:textId="41D5F18C" w:rsidR="005731C6" w:rsidRPr="00301EFF" w:rsidRDefault="005731C6" w:rsidP="00294608">
      <w:pPr>
        <w:jc w:val="center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 xml:space="preserve">Zápisnica z vyhodnotenia splnenia podmienok účasti </w:t>
      </w:r>
    </w:p>
    <w:p w14:paraId="5E9AD8AD" w14:textId="77777777" w:rsidR="00F85258" w:rsidRPr="00301EFF" w:rsidRDefault="00F85258" w:rsidP="00F85258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75773BC3" w14:textId="77777777" w:rsidR="00855B9D" w:rsidRDefault="00855B9D" w:rsidP="00855B9D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Identifikácia verejného obstarávania.</w:t>
      </w:r>
    </w:p>
    <w:p w14:paraId="116F1953" w14:textId="77777777" w:rsidR="00BD5C14" w:rsidRPr="00B87788" w:rsidRDefault="00BD5C14" w:rsidP="00BD5C1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hAnsiTheme="minorHAnsi" w:cstheme="minorHAnsi"/>
          <w:color w:val="333333"/>
          <w:sz w:val="20"/>
          <w:szCs w:val="20"/>
        </w:rPr>
        <w:t xml:space="preserve">ID </w:t>
      </w:r>
      <w:r>
        <w:rPr>
          <w:rFonts w:asciiTheme="minorHAnsi" w:hAnsiTheme="minorHAnsi" w:cstheme="minorHAnsi"/>
          <w:color w:val="333333"/>
          <w:sz w:val="20"/>
          <w:szCs w:val="20"/>
        </w:rPr>
        <w:t>3272</w:t>
      </w:r>
    </w:p>
    <w:p w14:paraId="6E2B46DD" w14:textId="77777777" w:rsidR="00BD5C14" w:rsidRPr="00B87788" w:rsidRDefault="00BD5C14" w:rsidP="00BD5C14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B87788">
        <w:rPr>
          <w:rFonts w:asciiTheme="minorHAnsi" w:hAnsiTheme="minorHAnsi" w:cstheme="minorHAnsi"/>
          <w:bCs/>
          <w:sz w:val="20"/>
          <w:szCs w:val="20"/>
        </w:rPr>
        <w:tab/>
      </w:r>
      <w:r w:rsidRPr="00F57F07">
        <w:rPr>
          <w:rFonts w:asciiTheme="minorHAnsi" w:hAnsiTheme="minorHAnsi" w:cstheme="minorHAnsi"/>
          <w:color w:val="333333"/>
          <w:sz w:val="20"/>
          <w:szCs w:val="20"/>
        </w:rPr>
        <w:t xml:space="preserve">Ul. J. </w:t>
      </w:r>
      <w:proofErr w:type="spellStart"/>
      <w:r w:rsidRPr="00F57F07">
        <w:rPr>
          <w:rFonts w:asciiTheme="minorHAnsi" w:hAnsiTheme="minorHAnsi" w:cstheme="minorHAnsi"/>
          <w:color w:val="333333"/>
          <w:sz w:val="20"/>
          <w:szCs w:val="20"/>
        </w:rPr>
        <w:t>Švermu</w:t>
      </w:r>
      <w:proofErr w:type="spellEnd"/>
      <w:r w:rsidRPr="00F57F07">
        <w:rPr>
          <w:rFonts w:asciiTheme="minorHAnsi" w:hAnsiTheme="minorHAnsi" w:cstheme="minorHAnsi"/>
          <w:color w:val="333333"/>
          <w:sz w:val="20"/>
          <w:szCs w:val="20"/>
        </w:rPr>
        <w:t xml:space="preserve"> 1736/14</w:t>
      </w:r>
      <w:r>
        <w:rPr>
          <w:rFonts w:asciiTheme="minorHAnsi" w:hAnsiTheme="minorHAnsi" w:cstheme="minorHAnsi"/>
          <w:color w:val="333333"/>
          <w:sz w:val="20"/>
          <w:szCs w:val="20"/>
        </w:rPr>
        <w:t>, 960 78 Zvolen</w:t>
      </w:r>
    </w:p>
    <w:p w14:paraId="0D4A7197" w14:textId="77777777" w:rsidR="00BD5C14" w:rsidRDefault="00BD5C14" w:rsidP="00BD5C14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B87788">
        <w:rPr>
          <w:rFonts w:asciiTheme="minorHAnsi" w:hAnsiTheme="minorHAnsi" w:cstheme="minorHAnsi"/>
          <w:sz w:val="20"/>
          <w:szCs w:val="20"/>
        </w:rPr>
        <w:t xml:space="preserve"> </w:t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F57F07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dodávky potravín pre ŠI Zvolen </w:t>
      </w:r>
    </w:p>
    <w:p w14:paraId="7BF47782" w14:textId="77777777" w:rsidR="00BD5C14" w:rsidRDefault="00BD5C14" w:rsidP="00BD5C14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B87788">
        <w:rPr>
          <w:rFonts w:asciiTheme="minorHAnsi" w:hAnsiTheme="minorHAnsi" w:cstheme="minorHAnsi"/>
          <w:bCs/>
          <w:sz w:val="20"/>
          <w:szCs w:val="20"/>
        </w:rPr>
        <w:tab/>
      </w:r>
      <w:r w:rsidRPr="00F57F07">
        <w:rPr>
          <w:rFonts w:asciiTheme="minorHAnsi" w:hAnsiTheme="minorHAnsi" w:cstheme="minorHAnsi"/>
          <w:sz w:val="20"/>
          <w:szCs w:val="20"/>
        </w:rPr>
        <w:t>EÚ Vestník 2022/S 111-310553 zo dňa 10.06.2022</w:t>
      </w:r>
    </w:p>
    <w:p w14:paraId="6C99A545" w14:textId="77777777" w:rsidR="00BD5C14" w:rsidRPr="00B87788" w:rsidRDefault="00BD5C14" w:rsidP="00BD5C14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>nadlimitná zákazka  zadávaná postupom verejnej súťaže podľa §66 ZVO</w:t>
      </w:r>
    </w:p>
    <w:p w14:paraId="5D662966" w14:textId="77777777" w:rsidR="00BD5C14" w:rsidRPr="00B87788" w:rsidRDefault="00BD5C14" w:rsidP="00BD5C1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/potraviny/</w:t>
      </w:r>
    </w:p>
    <w:p w14:paraId="334F0619" w14:textId="77777777" w:rsidR="00BD5C14" w:rsidRPr="00B87788" w:rsidRDefault="00BD5C14" w:rsidP="00BD5C14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11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7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11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:00 hod. elektronicky prostredníctvom komunikačného rozhrania systému </w:t>
      </w:r>
      <w:proofErr w:type="spellStart"/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79A9B0F7" w14:textId="77777777" w:rsidR="00BD5C14" w:rsidRPr="00B87788" w:rsidRDefault="00BD5C14" w:rsidP="00BD5C14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11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7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13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</w:t>
      </w:r>
      <w:r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00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hod.</w:t>
      </w:r>
    </w:p>
    <w:p w14:paraId="7DF6E34C" w14:textId="77777777" w:rsidR="00BD5C14" w:rsidRPr="00B87788" w:rsidRDefault="00BD5C14" w:rsidP="00BD5C1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37AC649" w14:textId="77777777" w:rsidR="00BD5C14" w:rsidRPr="00B87788" w:rsidRDefault="00BD5C14" w:rsidP="00BD5C1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181592BF" w14:textId="77777777" w:rsidR="00BD5C14" w:rsidRPr="00B87788" w:rsidRDefault="00BD5C14" w:rsidP="00BD5C1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AB7405" w14:textId="77777777" w:rsidR="00BD5C14" w:rsidRPr="00AB7EFE" w:rsidRDefault="00BD5C14" w:rsidP="00BD5C1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Bc. Beáta Fulnečková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628E93FE" w14:textId="77777777" w:rsidR="00BD5C14" w:rsidRPr="005176C9" w:rsidRDefault="00BD5C14" w:rsidP="00BD5C1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12D06F9D" w14:textId="77777777" w:rsidR="00BD5C14" w:rsidRPr="005176C9" w:rsidRDefault="00BD5C14" w:rsidP="00BD5C1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odborná refe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rentka pre verejné obstarávanie,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zapisovateľka</w:t>
      </w:r>
    </w:p>
    <w:p w14:paraId="61568292" w14:textId="77777777" w:rsidR="00BD5C14" w:rsidRDefault="00BD5C14" w:rsidP="00BD5C1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4EDBFF25" w14:textId="77777777" w:rsidR="00BD5C14" w:rsidRPr="009103B2" w:rsidRDefault="00BD5C14" w:rsidP="00BD5C14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Ing. Katarína </w:t>
      </w:r>
      <w:proofErr w:type="spellStart"/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Kulfánová</w:t>
      </w:r>
      <w:proofErr w:type="spellEnd"/>
      <w:r>
        <w:rPr>
          <w:rFonts w:asciiTheme="minorHAnsi" w:eastAsia="Times New Roman" w:hAnsiTheme="minorHAnsi" w:cs="Arial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vedúca ekonomického úseku</w:t>
      </w:r>
    </w:p>
    <w:p w14:paraId="35EE76B7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sz w:val="20"/>
          <w:szCs w:val="20"/>
        </w:rPr>
      </w:pPr>
    </w:p>
    <w:p w14:paraId="184D0CA5" w14:textId="77777777" w:rsidR="005731C6" w:rsidRPr="00301EFF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01EFF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zákona č. 343/2015 </w:t>
      </w:r>
      <w:proofErr w:type="spellStart"/>
      <w:r w:rsidRPr="00301EFF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301EFF">
        <w:rPr>
          <w:rFonts w:asciiTheme="minorHAnsi" w:hAnsiTheme="minorHAnsi" w:cstheme="minorHAnsi"/>
          <w:sz w:val="20"/>
          <w:szCs w:val="20"/>
        </w:rPr>
        <w:t>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14:paraId="5EEAD854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p w14:paraId="2D597BD2" w14:textId="4C2F2167" w:rsidR="00294608" w:rsidRPr="001B0C4B" w:rsidRDefault="00294608" w:rsidP="00294608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4251"/>
      </w:tblGrid>
      <w:tr w:rsidR="00BD5C14" w:rsidRPr="00FD33A8" w14:paraId="43402958" w14:textId="77777777" w:rsidTr="00E723A0">
        <w:trPr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A211565" w14:textId="77777777" w:rsidR="00BD5C14" w:rsidRPr="00A62EB9" w:rsidRDefault="00BD5C14" w:rsidP="00E72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A62EB9">
              <w:rPr>
                <w:rFonts w:asciiTheme="minorHAnsi" w:hAnsiTheme="minorHAnsi" w:cstheme="minorHAnsi"/>
                <w:b/>
                <w:sz w:val="20"/>
                <w:szCs w:val="20"/>
              </w:rPr>
              <w:t>P.č</w:t>
            </w:r>
            <w:proofErr w:type="spellEnd"/>
            <w:r w:rsidRPr="00A62EB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3E834E" w14:textId="77777777" w:rsidR="00BD5C14" w:rsidRPr="00A62EB9" w:rsidRDefault="00BD5C14" w:rsidP="00E72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B9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BD5C14" w:rsidRPr="00FD33A8" w14:paraId="1BEE2F95" w14:textId="77777777" w:rsidTr="00E723A0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EED" w14:textId="77777777" w:rsidR="00BD5C14" w:rsidRPr="00FD33A8" w:rsidRDefault="00BD5C14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3A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E84B" w14:textId="77777777" w:rsidR="00BD5C14" w:rsidRPr="00FD33A8" w:rsidRDefault="00BD5C14" w:rsidP="00E723A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795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INMEDIA, spol. s </w:t>
            </w:r>
            <w:proofErr w:type="spellStart"/>
            <w:r w:rsidRPr="00227958">
              <w:rPr>
                <w:rFonts w:asciiTheme="minorHAnsi" w:hAnsiTheme="minorHAnsi" w:cstheme="minorHAnsi"/>
                <w:bCs/>
                <w:sz w:val="20"/>
                <w:szCs w:val="20"/>
              </w:rPr>
              <w:t>r.o</w:t>
            </w:r>
            <w:proofErr w:type="spellEnd"/>
            <w:r w:rsidRPr="00227958">
              <w:rPr>
                <w:rFonts w:asciiTheme="minorHAnsi" w:hAnsiTheme="minorHAnsi" w:cstheme="minorHAnsi"/>
                <w:bCs/>
                <w:sz w:val="20"/>
                <w:szCs w:val="20"/>
              </w:rPr>
              <w:t>. (IČO: 36019208, SK)</w:t>
            </w:r>
          </w:p>
        </w:tc>
      </w:tr>
      <w:tr w:rsidR="00BD5C14" w:rsidRPr="00FD33A8" w14:paraId="5841A67A" w14:textId="77777777" w:rsidTr="00E723A0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32A9" w14:textId="77777777" w:rsidR="00BD5C14" w:rsidRPr="00FD33A8" w:rsidRDefault="00BD5C14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3A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83479" w14:textId="77777777" w:rsidR="00BD5C14" w:rsidRPr="00FD33A8" w:rsidRDefault="00BD5C14" w:rsidP="00E723A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564">
              <w:rPr>
                <w:rFonts w:asciiTheme="minorHAnsi" w:hAnsiTheme="minorHAnsi" w:cstheme="minorHAnsi"/>
                <w:bCs/>
                <w:sz w:val="20"/>
                <w:szCs w:val="20"/>
              </w:rPr>
              <w:t>GM plus, s.r.o. (IČO: 36047651, SK)</w:t>
            </w:r>
          </w:p>
        </w:tc>
      </w:tr>
      <w:tr w:rsidR="00BD5C14" w:rsidRPr="00FD33A8" w14:paraId="30664F78" w14:textId="77777777" w:rsidTr="00E723A0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69B7" w14:textId="77777777" w:rsidR="00BD5C14" w:rsidRPr="00FD33A8" w:rsidRDefault="00BD5C14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71B1" w14:textId="77777777" w:rsidR="00BD5C14" w:rsidRPr="00FD33A8" w:rsidRDefault="00BD5C14" w:rsidP="00E723A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564">
              <w:rPr>
                <w:rFonts w:asciiTheme="minorHAnsi" w:hAnsiTheme="minorHAnsi" w:cstheme="minorHAnsi"/>
                <w:bCs/>
                <w:sz w:val="20"/>
                <w:szCs w:val="20"/>
              </w:rPr>
              <w:t>BELSPOL, s.r.o. (IČO: 54651654, SK)</w:t>
            </w:r>
          </w:p>
        </w:tc>
      </w:tr>
      <w:tr w:rsidR="00BD5C14" w:rsidRPr="00FD33A8" w14:paraId="58116D02" w14:textId="77777777" w:rsidTr="00E723A0">
        <w:trPr>
          <w:trHeight w:val="39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82F6" w14:textId="77777777" w:rsidR="00BD5C14" w:rsidRPr="00FD33A8" w:rsidRDefault="00BD5C14" w:rsidP="00E723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0571" w14:textId="77777777" w:rsidR="00BD5C14" w:rsidRDefault="00BD5C14" w:rsidP="00E723A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56564">
              <w:rPr>
                <w:rFonts w:asciiTheme="minorHAnsi" w:hAnsiTheme="minorHAnsi" w:cstheme="minorHAnsi"/>
                <w:bCs/>
                <w:sz w:val="20"/>
                <w:szCs w:val="20"/>
              </w:rPr>
              <w:t>POZANA MEAT s.r.o (IČO: 50909142, SK)</w:t>
            </w:r>
          </w:p>
        </w:tc>
      </w:tr>
    </w:tbl>
    <w:p w14:paraId="7BF1E23D" w14:textId="77777777" w:rsidR="00294608" w:rsidRDefault="00294608" w:rsidP="00294608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6E75170" w14:textId="77777777" w:rsidR="005731C6" w:rsidRPr="00301EFF" w:rsidRDefault="005731C6" w:rsidP="005731C6">
      <w:pPr>
        <w:jc w:val="both"/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>Verejný obstarávateľ v zmysle § 55 ods. 1 ZVO vyhodnotil splnenie p</w:t>
      </w:r>
      <w:r w:rsidR="00301EFF" w:rsidRPr="00301EFF">
        <w:rPr>
          <w:rFonts w:cs="Calibri"/>
          <w:sz w:val="20"/>
          <w:szCs w:val="20"/>
        </w:rPr>
        <w:t>odmienok účasti podľa § 40 ZVO.</w:t>
      </w:r>
    </w:p>
    <w:p w14:paraId="132C08C9" w14:textId="77777777" w:rsidR="005731C6" w:rsidRPr="00301EFF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301EFF">
        <w:rPr>
          <w:rFonts w:cs="Calibri"/>
          <w:b/>
          <w:bCs/>
          <w:sz w:val="20"/>
          <w:szCs w:val="20"/>
        </w:rPr>
        <w:t>Vyhodnotenie splnenia podmienok účasti uchádzača, ktorý sa umiestnil na prvom mieste v poradí z hľadiska plnenia kritérií – najnižšia cena:</w:t>
      </w:r>
    </w:p>
    <w:p w14:paraId="1B59CB5B" w14:textId="77777777" w:rsidR="00C35B38" w:rsidRDefault="00C35B38" w:rsidP="00C35B3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</w:p>
    <w:p w14:paraId="5EDB2EB5" w14:textId="47214C2D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lastRenderedPageBreak/>
        <w:t xml:space="preserve">Komisia konštatuje, že uchádzač je zapísaný v zozname hospodárskych subjektov pod registračným číslom </w:t>
      </w:r>
      <w:r w:rsidRPr="008D36D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2019/9-PO-C7733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>
        <w:rPr>
          <w:rFonts w:asciiTheme="minorHAnsi" w:hAnsiTheme="minorHAnsi" w:cstheme="minorHAnsi"/>
          <w:b/>
          <w:i/>
          <w:sz w:val="20"/>
          <w:szCs w:val="20"/>
        </w:rPr>
        <w:t>26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>
        <w:rPr>
          <w:rFonts w:asciiTheme="minorHAnsi" w:hAnsiTheme="minorHAnsi" w:cstheme="minorHAnsi"/>
          <w:b/>
          <w:i/>
          <w:sz w:val="20"/>
          <w:szCs w:val="20"/>
        </w:rPr>
        <w:t>9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.2022. Uchádzač týmto zápisom preukázal splnenie podmienok účasti podľa § 32 ods. 1 ZVO v rozsahu skutočností zapísaných v zozname hospodárskych subjektov. </w:t>
      </w:r>
    </w:p>
    <w:p w14:paraId="199BCEFE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096095B5" w14:textId="77777777" w:rsidR="00C35B38" w:rsidRPr="00F85258" w:rsidRDefault="00C35B38" w:rsidP="00C35B3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595BF36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3795AE8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04555168" w14:textId="6374396E" w:rsidR="00C35B38" w:rsidRPr="00F85258" w:rsidRDefault="00C35B38" w:rsidP="00C35B3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5820A685" w14:textId="518A0112" w:rsidR="00C35B38" w:rsidRPr="00F8525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 Uchádzač predložil zoznam dodávok tovaru podľa požiadaviek uvedených v súťažných podkladoch – v hodnote prevyšujúcej predpokladanú hodnotu zákazky.</w:t>
      </w:r>
      <w:r w:rsidR="0069747B"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77A12ECE" w14:textId="77777777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7D8D83A7" w14:textId="77777777" w:rsidR="00C35B3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 xml:space="preserve">a </w:t>
      </w:r>
      <w:proofErr w:type="spellStart"/>
      <w:r>
        <w:rPr>
          <w:rFonts w:cs="Calibri"/>
          <w:b/>
          <w:i/>
          <w:sz w:val="20"/>
          <w:szCs w:val="20"/>
        </w:rPr>
        <w:t>druom</w:t>
      </w:r>
      <w:proofErr w:type="spellEnd"/>
      <w:r>
        <w:rPr>
          <w:rFonts w:cs="Calibri"/>
          <w:b/>
          <w:i/>
          <w:sz w:val="20"/>
          <w:szCs w:val="20"/>
        </w:rPr>
        <w:t xml:space="preserve">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6C3385FE" w14:textId="77777777" w:rsidR="000450A0" w:rsidRDefault="000450A0" w:rsidP="0029460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56564">
        <w:rPr>
          <w:rFonts w:asciiTheme="minorHAnsi" w:hAnsiTheme="minorHAnsi" w:cstheme="minorHAnsi"/>
          <w:bCs/>
          <w:sz w:val="20"/>
          <w:szCs w:val="20"/>
        </w:rPr>
        <w:t>GM plus, s.r.o. (IČO: 36047651, SK)</w:t>
      </w:r>
    </w:p>
    <w:p w14:paraId="09EEAAC4" w14:textId="1BE2FDFB" w:rsidR="00294608" w:rsidRPr="00F85258" w:rsidRDefault="00294608" w:rsidP="002946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0450A0" w:rsidRPr="000450A0">
        <w:rPr>
          <w:rFonts w:asciiTheme="minorHAnsi" w:hAnsiTheme="minorHAnsi" w:cstheme="minorHAnsi"/>
          <w:b/>
          <w:bCs/>
          <w:i/>
          <w:sz w:val="20"/>
          <w:szCs w:val="20"/>
        </w:rPr>
        <w:t>2022/1-PO-E9667</w:t>
      </w:r>
      <w:r w:rsidR="000450A0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0450A0">
        <w:rPr>
          <w:rFonts w:asciiTheme="minorHAnsi" w:hAnsiTheme="minorHAnsi" w:cstheme="minorHAnsi"/>
          <w:b/>
          <w:i/>
          <w:sz w:val="20"/>
          <w:szCs w:val="20"/>
        </w:rPr>
        <w:t>14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0450A0">
        <w:rPr>
          <w:rFonts w:asciiTheme="minorHAnsi" w:hAnsiTheme="minorHAnsi" w:cstheme="minorHAnsi"/>
          <w:b/>
          <w:i/>
          <w:sz w:val="20"/>
          <w:szCs w:val="20"/>
        </w:rPr>
        <w:t>1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0450A0"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 Uchádzač týmto zápisom preukázal splnenie podmienok účasti podľa § 32 ods. 1 ZVO v rozsahu skutočností zapísaných v zozname hospodárskych subjektov. Na preukázanie splnenia podmienok účasti podľa § 32 ods. 1 predložil čestné vyhlásenie o zápise do záznamu hospodárskych subjektov.</w:t>
      </w:r>
    </w:p>
    <w:p w14:paraId="2419D175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0D854E72" w14:textId="77777777" w:rsidR="00294608" w:rsidRPr="00F85258" w:rsidRDefault="00294608" w:rsidP="0029460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4E1F3631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1E6EDA48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1DB8C5E3" w14:textId="6E36456C" w:rsidR="00294608" w:rsidRPr="00F85258" w:rsidRDefault="00294608" w:rsidP="0029460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4C56DF7E" w14:textId="77777777" w:rsidR="000450A0" w:rsidRPr="00F85258" w:rsidRDefault="00294608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 Uchádzač predložil zoznam dodávok tovaru podľa požiadaviek uvedených v súťažných podkladoch – v hodnote prevyšujúcej predpokladanú hodnotu zákazky.</w:t>
      </w:r>
      <w:r w:rsidR="000450A0">
        <w:rPr>
          <w:rFonts w:cs="Calibri"/>
          <w:b/>
          <w:i/>
          <w:sz w:val="20"/>
          <w:szCs w:val="20"/>
        </w:rPr>
        <w:t xml:space="preserve"> </w:t>
      </w:r>
      <w:r w:rsidR="000450A0">
        <w:rPr>
          <w:rFonts w:cs="Calibri"/>
          <w:b/>
          <w:i/>
          <w:sz w:val="20"/>
          <w:szCs w:val="20"/>
        </w:rPr>
        <w:t>Uchádzač má zapísané referencie aj na stránke ÚVO (v hodnote prevyšujúcej predpokladanú hodnotu zákazky).</w:t>
      </w:r>
    </w:p>
    <w:p w14:paraId="290FE699" w14:textId="77777777" w:rsidR="00294608" w:rsidRPr="00F85258" w:rsidRDefault="00294608" w:rsidP="002946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Komisia konštatuje, že uchádzač predmetnými dokladmi preukázal, že spĺňa podmienku účasti podľa § 34 ods. 1 písm. a) ZVO tak, ako ju verejný obstarávateľ zadefinoval vo vzťahu k tomuto verejnému obstarávaniu, keďže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lastRenderedPageBreak/>
        <w:t>sa jedná o dodanie tovaru (potraviny) a  hodnota minimálne jednej zákazky bola rovnaká alebo vyššia ako predpokladaná hodnota zákazky pre časť, na ktorú predkladá ponuku.</w:t>
      </w:r>
    </w:p>
    <w:p w14:paraId="620E45FC" w14:textId="77777777" w:rsidR="00294608" w:rsidRDefault="00294608" w:rsidP="0029460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0D5D8C07" w14:textId="77777777" w:rsidR="000450A0" w:rsidRDefault="000450A0" w:rsidP="000450A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56564">
        <w:rPr>
          <w:rFonts w:asciiTheme="minorHAnsi" w:hAnsiTheme="minorHAnsi" w:cstheme="minorHAnsi"/>
          <w:bCs/>
          <w:sz w:val="20"/>
          <w:szCs w:val="20"/>
        </w:rPr>
        <w:t>BELSPOL, s.r.o. (IČO: 54651654, SK)</w:t>
      </w:r>
    </w:p>
    <w:p w14:paraId="230EF308" w14:textId="2171B6B0" w:rsidR="000450A0" w:rsidRPr="00F85258" w:rsidRDefault="000450A0" w:rsidP="000450A0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Pr="000450A0">
        <w:rPr>
          <w:rFonts w:asciiTheme="minorHAnsi" w:hAnsiTheme="minorHAnsi" w:cstheme="minorHAnsi"/>
          <w:b/>
          <w:bCs/>
          <w:i/>
          <w:sz w:val="20"/>
          <w:szCs w:val="20"/>
        </w:rPr>
        <w:t>2022/6-PO-F9520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>
        <w:rPr>
          <w:rFonts w:asciiTheme="minorHAnsi" w:hAnsiTheme="minorHAnsi" w:cstheme="minorHAnsi"/>
          <w:b/>
          <w:i/>
          <w:sz w:val="20"/>
          <w:szCs w:val="20"/>
        </w:rPr>
        <w:t>21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>
        <w:rPr>
          <w:rFonts w:asciiTheme="minorHAnsi" w:hAnsiTheme="minorHAnsi" w:cstheme="minorHAnsi"/>
          <w:b/>
          <w:i/>
          <w:sz w:val="20"/>
          <w:szCs w:val="20"/>
        </w:rPr>
        <w:t>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0F8E4643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602A2F56" w14:textId="77777777" w:rsidR="000450A0" w:rsidRPr="00F85258" w:rsidRDefault="000450A0" w:rsidP="000450A0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4D66DC85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7E26B1D4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2D811837" w14:textId="77777777" w:rsidR="000450A0" w:rsidRPr="00F85258" w:rsidRDefault="000450A0" w:rsidP="000450A0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4C8AB5BE" w14:textId="77777777" w:rsidR="000450A0" w:rsidRPr="00F85258" w:rsidRDefault="000450A0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 Uchádzač predložil zoznam dodávok tovaru podľa požiadaviek uvedených v súťažných podkladoch – v hodnote prevyšujúcej predpokladanú hodnotu zákazky.</w:t>
      </w:r>
      <w:r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006B29F8" w14:textId="77777777" w:rsidR="000450A0" w:rsidRPr="00F85258" w:rsidRDefault="000450A0" w:rsidP="000450A0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2A35D0CF" w14:textId="77777777" w:rsidR="000450A0" w:rsidRDefault="000450A0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6CD13919" w14:textId="77777777" w:rsidR="00844206" w:rsidRDefault="00844206" w:rsidP="0084420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56564">
        <w:rPr>
          <w:rFonts w:asciiTheme="minorHAnsi" w:hAnsiTheme="minorHAnsi" w:cstheme="minorHAnsi"/>
          <w:bCs/>
          <w:sz w:val="20"/>
          <w:szCs w:val="20"/>
        </w:rPr>
        <w:t>POZANA MEAT s.r.o (IČO: 50909142, SK)</w:t>
      </w:r>
    </w:p>
    <w:p w14:paraId="533DC9F1" w14:textId="11B282DC" w:rsidR="00844206" w:rsidRPr="00F85258" w:rsidRDefault="00844206" w:rsidP="0084420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A81449" w:rsidRPr="00A81449">
        <w:rPr>
          <w:rFonts w:asciiTheme="minorHAnsi" w:hAnsiTheme="minorHAnsi" w:cstheme="minorHAnsi"/>
          <w:b/>
          <w:bCs/>
          <w:i/>
          <w:sz w:val="20"/>
          <w:szCs w:val="20"/>
        </w:rPr>
        <w:t>2020/12-PO-F5310</w:t>
      </w:r>
      <w:r w:rsidR="00A8144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A81449" w:rsidRPr="00A81449">
        <w:rPr>
          <w:rFonts w:asciiTheme="minorHAnsi" w:hAnsiTheme="minorHAnsi" w:cstheme="minorHAnsi"/>
          <w:b/>
          <w:i/>
          <w:sz w:val="20"/>
          <w:szCs w:val="20"/>
        </w:rPr>
        <w:tab/>
        <w:t>28.12.2023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  <w:r w:rsidR="00A81449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Uchádzač týmto zápisom preukázal splnenie podmienok účasti podľa § 32 ods. 1 ZVO v rozsahu skutočností zapísaných v zozname hospodárskych subjektov. </w:t>
      </w:r>
      <w:r w:rsidR="00A81449">
        <w:rPr>
          <w:rFonts w:asciiTheme="minorHAnsi" w:hAnsiTheme="minorHAnsi" w:cstheme="minorHAnsi"/>
          <w:b/>
          <w:i/>
          <w:sz w:val="20"/>
          <w:szCs w:val="20"/>
        </w:rPr>
        <w:t>Uchádzač predložil výpis z Úradu pre verejné obstarávanie.</w:t>
      </w:r>
    </w:p>
    <w:p w14:paraId="0478FBCB" w14:textId="77777777" w:rsidR="00844206" w:rsidRPr="00F85258" w:rsidRDefault="00844206" w:rsidP="0084420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30605B09" w14:textId="77777777" w:rsidR="00844206" w:rsidRPr="00F85258" w:rsidRDefault="00844206" w:rsidP="00844206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7B913C43" w14:textId="77777777" w:rsidR="00844206" w:rsidRPr="00F85258" w:rsidRDefault="00844206" w:rsidP="0084420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0DC1C7EF" w14:textId="77777777" w:rsidR="00844206" w:rsidRPr="00F85258" w:rsidRDefault="00844206" w:rsidP="0084420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5E1FDD63" w14:textId="77777777" w:rsidR="00844206" w:rsidRPr="00F85258" w:rsidRDefault="00844206" w:rsidP="00844206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077CF656" w14:textId="77777777" w:rsidR="00844206" w:rsidRPr="00F85258" w:rsidRDefault="00844206" w:rsidP="0084420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lastRenderedPageBreak/>
        <w:t>Komisia overovala splnenie podmienky účasti podľa § 34 ods. 1 písm. a) ZVO. Uchádzač predložil zoznam dodávok tovaru podľa požiadaviek uvedených v súťažných podkladoch – v hodnote prevyšujúcej predpokladanú hodnotu zákazky.</w:t>
      </w:r>
      <w:r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6002ECC6" w14:textId="77777777" w:rsidR="00844206" w:rsidRPr="00F85258" w:rsidRDefault="00844206" w:rsidP="0084420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6B425639" w14:textId="77777777" w:rsidR="00844206" w:rsidRDefault="00844206" w:rsidP="0084420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5D814805" w14:textId="6FB2E064" w:rsidR="00294608" w:rsidRDefault="00294608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C573D70" w14:textId="77777777" w:rsidR="000450A0" w:rsidRDefault="000450A0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0CE7EFAD" w14:textId="544B0811" w:rsidR="00A8098D" w:rsidRPr="00301EFF" w:rsidRDefault="00942B09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 w:rsidRPr="00301EFF">
        <w:rPr>
          <w:rFonts w:asciiTheme="minorHAnsi" w:eastAsia="Calibri" w:hAnsiTheme="minorHAnsi" w:cstheme="minorHAnsi"/>
          <w:sz w:val="20"/>
          <w:szCs w:val="20"/>
          <w:lang w:eastAsia="sk-SK"/>
        </w:rPr>
        <w:t>Záverečné stanovisko:</w:t>
      </w:r>
    </w:p>
    <w:p w14:paraId="38E26D7B" w14:textId="77777777" w:rsidR="00942B09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>
        <w:rPr>
          <w:rFonts w:asciiTheme="minorHAnsi" w:eastAsia="Calibri" w:hAnsiTheme="minorHAnsi" w:cstheme="minorHAnsi"/>
          <w:sz w:val="20"/>
          <w:szCs w:val="20"/>
          <w:lang w:eastAsia="sk-SK"/>
        </w:rPr>
        <w:t>Komisia konštatuje, že uchádzač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splnili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podmienky účasti osobného postavenia v zmysle §32 ZVO ako aj podmienky technickej a odbornej spôsobilosti podľa  §34 ods. 1 písm. a) ZVO,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ich po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>nuka spĺňa požiadavky na predmet zákazky a s uchádzačm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odporúča uzavrieť rámcovú dohodu.</w:t>
      </w:r>
    </w:p>
    <w:p w14:paraId="618ED2E9" w14:textId="77777777" w:rsidR="00301EFF" w:rsidRPr="00301EFF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F3E1C92" w14:textId="77777777" w:rsidR="005731C6" w:rsidRPr="00301EFF" w:rsidRDefault="005731C6" w:rsidP="005731C6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4CDAE468" w14:textId="1713E7BC" w:rsidR="005731C6" w:rsidRPr="00301EFF" w:rsidRDefault="00837C04" w:rsidP="005731C6">
      <w:pPr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 xml:space="preserve">V Banskej Bystrici, dňa </w:t>
      </w:r>
      <w:r w:rsidR="00A81449">
        <w:rPr>
          <w:rFonts w:cs="Calibri"/>
          <w:sz w:val="20"/>
          <w:szCs w:val="20"/>
        </w:rPr>
        <w:t>18</w:t>
      </w:r>
      <w:r w:rsidR="00C35B38">
        <w:rPr>
          <w:rFonts w:cs="Calibri"/>
          <w:sz w:val="20"/>
          <w:szCs w:val="20"/>
        </w:rPr>
        <w:t>.</w:t>
      </w:r>
      <w:r w:rsidR="00A81449">
        <w:rPr>
          <w:rFonts w:cs="Calibri"/>
          <w:sz w:val="20"/>
          <w:szCs w:val="20"/>
        </w:rPr>
        <w:t>07</w:t>
      </w:r>
      <w:r w:rsidR="00F85258" w:rsidRPr="00301EFF">
        <w:rPr>
          <w:rFonts w:cs="Calibri"/>
          <w:sz w:val="20"/>
          <w:szCs w:val="20"/>
        </w:rPr>
        <w:t>.202</w:t>
      </w:r>
      <w:r w:rsidR="00A81449">
        <w:rPr>
          <w:rFonts w:cs="Calibri"/>
          <w:sz w:val="20"/>
          <w:szCs w:val="20"/>
        </w:rPr>
        <w:t>2</w:t>
      </w:r>
    </w:p>
    <w:p w14:paraId="04793BAF" w14:textId="77777777" w:rsidR="005731C6" w:rsidRPr="00301EFF" w:rsidRDefault="005731C6" w:rsidP="00EC04D4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s právom vyhodnocovať ponuky:</w:t>
      </w:r>
    </w:p>
    <w:p w14:paraId="39F34A25" w14:textId="7C7D7AD7" w:rsidR="00301EFF" w:rsidRPr="00B87788" w:rsidRDefault="00A81449" w:rsidP="00301EF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Bc. Beáta Fulnečková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45702F4E" w14:textId="6F68D9ED" w:rsidR="00301EFF" w:rsidRPr="00B87788" w:rsidRDefault="00301EFF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BD39036" w14:textId="75EF06B4" w:rsidR="00301EFF" w:rsidRPr="00B87788" w:rsidRDefault="00A81449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Ing. Katarína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Kulfánová</w:t>
      </w:r>
      <w:proofErr w:type="spellEnd"/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E504F64" w14:textId="77777777" w:rsidR="005731C6" w:rsidRPr="00301EFF" w:rsidRDefault="005731C6" w:rsidP="00301EFF">
      <w:pPr>
        <w:jc w:val="both"/>
        <w:rPr>
          <w:rFonts w:cs="Calibri"/>
          <w:sz w:val="20"/>
          <w:szCs w:val="20"/>
        </w:rPr>
      </w:pPr>
    </w:p>
    <w:p w14:paraId="6A029F32" w14:textId="77777777" w:rsidR="000524E4" w:rsidRPr="00301EFF" w:rsidRDefault="000524E4" w:rsidP="005731C6">
      <w:pPr>
        <w:rPr>
          <w:sz w:val="20"/>
          <w:szCs w:val="20"/>
        </w:rPr>
      </w:pPr>
    </w:p>
    <w:sectPr w:rsidR="000524E4" w:rsidRPr="00301EFF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FFE4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4AAF980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284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793"/>
      <w:gridCol w:w="1502"/>
      <w:gridCol w:w="1722"/>
      <w:gridCol w:w="2167"/>
      <w:gridCol w:w="1780"/>
    </w:tblGrid>
    <w:tr w:rsidR="00055ED9" w:rsidRPr="006579B3" w14:paraId="46D1C6D7" w14:textId="77777777" w:rsidTr="00243E38">
      <w:tc>
        <w:tcPr>
          <w:tcW w:w="1920" w:type="dxa"/>
          <w:shd w:val="clear" w:color="auto" w:fill="auto"/>
        </w:tcPr>
        <w:p w14:paraId="6797AB8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09C0B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3D665CF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1B0A88B1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7E2AB0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ED2EE9A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8C60B08" w14:textId="08B30F03" w:rsidR="003B623D" w:rsidRPr="006579B3" w:rsidRDefault="00DB6933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0949014595</w:t>
          </w:r>
        </w:p>
      </w:tc>
      <w:tc>
        <w:tcPr>
          <w:tcW w:w="1701" w:type="dxa"/>
          <w:shd w:val="clear" w:color="auto" w:fill="auto"/>
        </w:tcPr>
        <w:p w14:paraId="60A2257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78363D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69A691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3CBDF7A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D186C79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25A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F06F2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8D00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EDB8E0C" wp14:editId="27E53B9A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202C433C" wp14:editId="5D1C28CA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55BEFA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08C3E63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B563A">
      <w:rPr>
        <w:rFonts w:cs="Arial"/>
        <w:b/>
        <w:sz w:val="28"/>
      </w:rPr>
      <w:t xml:space="preserve"> </w:t>
    </w:r>
  </w:p>
  <w:p w14:paraId="2F811744" w14:textId="77777777" w:rsidR="00BD5C14" w:rsidRPr="00C54D8C" w:rsidRDefault="003B623D" w:rsidP="00BD5C14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BD5C14">
      <w:rPr>
        <w:rFonts w:cs="Arial"/>
        <w:b/>
        <w:sz w:val="18"/>
        <w:szCs w:val="18"/>
      </w:rPr>
      <w:t>Školský internát Zvolen</w:t>
    </w:r>
  </w:p>
  <w:p w14:paraId="06665A02" w14:textId="77777777" w:rsidR="00BD5C14" w:rsidRPr="00F57F07" w:rsidRDefault="00BD5C14" w:rsidP="00BD5C14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F57F07">
      <w:rPr>
        <w:rFonts w:cs="Arial"/>
        <w:b/>
        <w:sz w:val="18"/>
        <w:szCs w:val="18"/>
      </w:rPr>
      <w:t xml:space="preserve">Ul. J. </w:t>
    </w:r>
    <w:proofErr w:type="spellStart"/>
    <w:r w:rsidRPr="00F57F07">
      <w:rPr>
        <w:rFonts w:cs="Arial"/>
        <w:b/>
        <w:sz w:val="18"/>
        <w:szCs w:val="18"/>
      </w:rPr>
      <w:t>Švermu</w:t>
    </w:r>
    <w:proofErr w:type="spellEnd"/>
    <w:r w:rsidRPr="00F57F07">
      <w:rPr>
        <w:rFonts w:cs="Arial"/>
        <w:b/>
        <w:sz w:val="18"/>
        <w:szCs w:val="18"/>
      </w:rPr>
      <w:t xml:space="preserve"> 1736/14</w:t>
    </w:r>
  </w:p>
  <w:p w14:paraId="188B32DA" w14:textId="5D0F3CDD" w:rsidR="00BD5C14" w:rsidRPr="005028BF" w:rsidRDefault="00BD5C14" w:rsidP="00BD5C1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F57F07">
      <w:rPr>
        <w:rFonts w:cs="Arial"/>
        <w:b/>
        <w:sz w:val="18"/>
        <w:szCs w:val="18"/>
      </w:rPr>
      <w:t xml:space="preserve">960 78 </w:t>
    </w:r>
    <w:r w:rsidR="00A81449">
      <w:rPr>
        <w:rFonts w:cs="Arial"/>
        <w:b/>
        <w:sz w:val="18"/>
        <w:szCs w:val="18"/>
      </w:rPr>
      <w:t>Zvolen</w:t>
    </w:r>
  </w:p>
  <w:p w14:paraId="7FE095DF" w14:textId="2F2A9017" w:rsidR="003B623D" w:rsidRPr="005028BF" w:rsidRDefault="003B623D" w:rsidP="00BD5C14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65E27AD4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320738438">
    <w:abstractNumId w:val="4"/>
  </w:num>
  <w:num w:numId="2" w16cid:durableId="286856276">
    <w:abstractNumId w:val="3"/>
  </w:num>
  <w:num w:numId="3" w16cid:durableId="1809741737">
    <w:abstractNumId w:val="2"/>
  </w:num>
  <w:num w:numId="4" w16cid:durableId="727916206">
    <w:abstractNumId w:val="1"/>
  </w:num>
  <w:num w:numId="5" w16cid:durableId="175447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450A0"/>
    <w:rsid w:val="00051414"/>
    <w:rsid w:val="00051B58"/>
    <w:rsid w:val="000524E4"/>
    <w:rsid w:val="00055ED9"/>
    <w:rsid w:val="000660B7"/>
    <w:rsid w:val="00097F64"/>
    <w:rsid w:val="000A51A3"/>
    <w:rsid w:val="000E26E4"/>
    <w:rsid w:val="000E4F34"/>
    <w:rsid w:val="000F3576"/>
    <w:rsid w:val="0010140B"/>
    <w:rsid w:val="00125EC8"/>
    <w:rsid w:val="001445E1"/>
    <w:rsid w:val="001451A9"/>
    <w:rsid w:val="0016334B"/>
    <w:rsid w:val="001931B3"/>
    <w:rsid w:val="00196245"/>
    <w:rsid w:val="00196F17"/>
    <w:rsid w:val="001A53D0"/>
    <w:rsid w:val="001B660B"/>
    <w:rsid w:val="001E2B04"/>
    <w:rsid w:val="00206602"/>
    <w:rsid w:val="0021655C"/>
    <w:rsid w:val="00294608"/>
    <w:rsid w:val="002A7E3A"/>
    <w:rsid w:val="002B0AD0"/>
    <w:rsid w:val="002B0BD7"/>
    <w:rsid w:val="002B1CFB"/>
    <w:rsid w:val="002B7C13"/>
    <w:rsid w:val="002D7057"/>
    <w:rsid w:val="00301EFF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B48F7"/>
    <w:rsid w:val="004B563A"/>
    <w:rsid w:val="004D3D97"/>
    <w:rsid w:val="004D408E"/>
    <w:rsid w:val="004F575E"/>
    <w:rsid w:val="005731C6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406DF"/>
    <w:rsid w:val="0069747B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44206"/>
    <w:rsid w:val="008532C4"/>
    <w:rsid w:val="00855B9D"/>
    <w:rsid w:val="00876BC0"/>
    <w:rsid w:val="008A6FCA"/>
    <w:rsid w:val="009302EF"/>
    <w:rsid w:val="00942B09"/>
    <w:rsid w:val="00961DDF"/>
    <w:rsid w:val="009F6406"/>
    <w:rsid w:val="00A03B80"/>
    <w:rsid w:val="00A34697"/>
    <w:rsid w:val="00A42EDD"/>
    <w:rsid w:val="00A45520"/>
    <w:rsid w:val="00A67CE3"/>
    <w:rsid w:val="00A7036A"/>
    <w:rsid w:val="00A73059"/>
    <w:rsid w:val="00A8098D"/>
    <w:rsid w:val="00A81449"/>
    <w:rsid w:val="00AB33D3"/>
    <w:rsid w:val="00AD5011"/>
    <w:rsid w:val="00AE0D7D"/>
    <w:rsid w:val="00AE38B1"/>
    <w:rsid w:val="00B0725E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D5C14"/>
    <w:rsid w:val="00BF35B4"/>
    <w:rsid w:val="00BF6A6F"/>
    <w:rsid w:val="00C16D59"/>
    <w:rsid w:val="00C3470A"/>
    <w:rsid w:val="00C35B38"/>
    <w:rsid w:val="00C5009F"/>
    <w:rsid w:val="00C55332"/>
    <w:rsid w:val="00C71267"/>
    <w:rsid w:val="00CD4A3F"/>
    <w:rsid w:val="00D043CC"/>
    <w:rsid w:val="00D30182"/>
    <w:rsid w:val="00D33371"/>
    <w:rsid w:val="00D41825"/>
    <w:rsid w:val="00D86266"/>
    <w:rsid w:val="00DA5146"/>
    <w:rsid w:val="00DB6933"/>
    <w:rsid w:val="00DF4213"/>
    <w:rsid w:val="00E1618A"/>
    <w:rsid w:val="00E65F1C"/>
    <w:rsid w:val="00E703B1"/>
    <w:rsid w:val="00E96F53"/>
    <w:rsid w:val="00EA1B1E"/>
    <w:rsid w:val="00EB4CB3"/>
    <w:rsid w:val="00EC04D4"/>
    <w:rsid w:val="00ED2BBB"/>
    <w:rsid w:val="00EE022C"/>
    <w:rsid w:val="00F175F4"/>
    <w:rsid w:val="00F22CDF"/>
    <w:rsid w:val="00F32690"/>
    <w:rsid w:val="00F57227"/>
    <w:rsid w:val="00F85258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D47A1E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1543</Words>
  <Characters>8798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2020-09-30T19:15:00Z</cp:lastPrinted>
  <dcterms:created xsi:type="dcterms:W3CDTF">2022-07-18T11:28:00Z</dcterms:created>
  <dcterms:modified xsi:type="dcterms:W3CDTF">2022-07-18T11:28:00Z</dcterms:modified>
</cp:coreProperties>
</file>